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000-22333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36-3687863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1319 Marquette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Romeoville, Illinois 60446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771-6708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SLSN</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2026, the Registrant issued a press release, a copy of which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31,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80"/>
          </w:cols>
          <w:pgMar w:left="320" w:top="360" w:right="8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SOLESENCE, INC.</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Laura Riffner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Laura Riffner</w:t>
            </w:r>
          </w:p>
        </w:tc>
        <w:tc>
          <w:tcPr>
            <w:tcW w:w="1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Solésence Reports Fourth Quarter and Full-Year 2025 Financial Results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Full Year 2025 record revenue of $62.1 million</w:t>
      </w:r>
    </w:p>
    <w:p>
      <w:pPr>
        <w:spacing w:after="0" w:line="2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ROMEOVILLE, Ill., March 31, 2026 (GLOBE NEWSWIRE) -- Solésence, Inc. (Nasdaq: SLSN), a leader in scientifically-driven health care solutions across beauty and life science categories, today announced financial results for the fourth quarter and year ended December 31, 2025.</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2025, we achieved record revenue of $62.1 million, effectively doubling our line of consumer products in just two years. This affirmed both the value we bring to the industry, and our ability to establish ourselves as a leading innovator and manufacturer of SPF-infused beauty products,” said Kevin Cureton, President and Chief Executive Officer.</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November, we launched Transform &amp; Transcend. This is a broad-based strategic initiative that is aligning our operational execution with the changes in our organization brought on by our rapid commercial growth, and subsequently enables our company to capitalize on the market position we have established and the intellectual property investments we have made. Transform &amp; Transcend is built on four core pillars: operational excellence through lean management principles, technology-driven expansion of our addressable market, increasing our share of the value chain through service model innovation, and collaborative globalization through entering new geographies in cooperation with our brand partners. Through the methodical execution of this initiative, our organization will be positioned to deliver sustainable, profitable growth above the industry averages and long-term value for our shareholders."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Laura Riffner, Chief Financial Officer, noted, “We exited 2025 with strong momentum due in part to organizational changes and the start of the Transform and Transcend initiative. Looking ahead to 2026, we are confident in our ability to deliver against our full-year objectives.”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Fourth Quarter 2025 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Financial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for the fourth quarter was $12.5 million, compared to $12.6 million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Gross profit increased to $3.4 million in the fourth quarter, compared to $2.8 million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Gross margin in the fourth quarter was 27%, compared to 22%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37" w:lineRule="auto"/>
        <w:rPr>
          <w:sz w:val="20"/>
          <w:szCs w:val="20"/>
          <w:color w:val="auto"/>
        </w:rPr>
      </w:pPr>
      <w:r>
        <w:rPr>
          <w:rFonts w:ascii="Times New Roman" w:cs="Times New Roman" w:eastAsia="Times New Roman" w:hAnsi="Times New Roman"/>
          <w:sz w:val="22"/>
          <w:szCs w:val="22"/>
          <w:color w:val="auto"/>
        </w:rPr>
        <w:t>Net income in the fourth quarter was approximately $0.2 million, compared to a net loss of approximately $0.6 million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Full Year 2025 Financial Results</w:t>
      </w:r>
    </w:p>
    <w:p>
      <w:pPr>
        <w:spacing w:after="0" w:line="210" w:lineRule="exact"/>
        <w:rPr>
          <w:sz w:val="20"/>
          <w:szCs w:val="20"/>
          <w:color w:val="auto"/>
        </w:rPr>
      </w:pPr>
    </w:p>
    <w:p>
      <w:pPr>
        <w:ind w:left="540" w:right="260"/>
        <w:spacing w:after="0" w:line="241" w:lineRule="auto"/>
        <w:rPr>
          <w:sz w:val="20"/>
          <w:szCs w:val="20"/>
          <w:color w:val="auto"/>
        </w:rPr>
      </w:pPr>
      <w:r>
        <w:rPr>
          <w:rFonts w:ascii="Times New Roman" w:cs="Times New Roman" w:eastAsia="Times New Roman" w:hAnsi="Times New Roman"/>
          <w:sz w:val="22"/>
          <w:szCs w:val="22"/>
          <w:color w:val="auto"/>
        </w:rPr>
        <w:t>Revenue for the twelve months ended December 31, 2025, was a record $62.1 million compared to $52.3 million, a 19% increase over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0" w:lineRule="auto"/>
        <w:rPr>
          <w:sz w:val="20"/>
          <w:szCs w:val="20"/>
          <w:color w:val="auto"/>
        </w:rPr>
      </w:pPr>
      <w:r>
        <w:rPr>
          <w:rFonts w:ascii="Times New Roman" w:cs="Times New Roman" w:eastAsia="Times New Roman" w:hAnsi="Times New Roman"/>
          <w:sz w:val="22"/>
          <w:szCs w:val="22"/>
          <w:color w:val="auto"/>
        </w:rPr>
        <w:t>Gross profit for the twelve months ended December 31, 2025, was $16.1 million compared to $16.2 million over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560"/>
        <w:spacing w:after="0" w:line="235" w:lineRule="auto"/>
        <w:rPr>
          <w:sz w:val="20"/>
          <w:szCs w:val="20"/>
          <w:color w:val="auto"/>
        </w:rPr>
      </w:pPr>
      <w:r>
        <w:rPr>
          <w:rFonts w:ascii="Times New Roman" w:cs="Times New Roman" w:eastAsia="Times New Roman" w:hAnsi="Times New Roman"/>
          <w:sz w:val="22"/>
          <w:szCs w:val="22"/>
          <w:color w:val="auto"/>
        </w:rPr>
        <w:t>Gross margin for the twelve months ended December 31, 2025, was 26%, compared to 31% for same period in 2024. Net income for the twelve months ended December 31, 2025, was $1.8 million compared to $4.2 million in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Highlights</w:t>
      </w:r>
    </w:p>
    <w:p>
      <w:pPr>
        <w:spacing w:after="0" w:line="210" w:lineRule="exact"/>
        <w:rPr>
          <w:sz w:val="20"/>
          <w:szCs w:val="20"/>
          <w:color w:val="auto"/>
        </w:rPr>
      </w:pPr>
    </w:p>
    <w:p>
      <w:pPr>
        <w:ind w:left="540" w:right="80"/>
        <w:spacing w:after="0" w:line="241" w:lineRule="auto"/>
        <w:rPr>
          <w:sz w:val="20"/>
          <w:szCs w:val="20"/>
          <w:color w:val="auto"/>
        </w:rPr>
      </w:pPr>
      <w:r>
        <w:rPr>
          <w:rFonts w:ascii="Times New Roman" w:cs="Times New Roman" w:eastAsia="Times New Roman" w:hAnsi="Times New Roman"/>
          <w:sz w:val="22"/>
          <w:szCs w:val="22"/>
          <w:color w:val="auto"/>
        </w:rPr>
        <w:t>Appointed Yoolie Park as Vice President of Brand Partnerships to drive commercialization strategy and further deepen and expand our relationships with our beauty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Acquired 20 new brand partners in facial skincare and color cosmetics.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5" w:lineRule="auto"/>
        <w:rPr>
          <w:sz w:val="20"/>
          <w:szCs w:val="20"/>
          <w:color w:val="auto"/>
        </w:rPr>
      </w:pPr>
      <w:r>
        <w:rPr>
          <w:rFonts w:ascii="Times New Roman" w:cs="Times New Roman" w:eastAsia="Times New Roman" w:hAnsi="Times New Roman"/>
          <w:sz w:val="22"/>
          <w:szCs w:val="22"/>
          <w:color w:val="auto"/>
        </w:rPr>
        <w:t>Expanded skin health patent protection through 16 U.S. and foreign patents across our technology platforms. This includes additional global patent protection for our award-winning Kleair™ technology; a skin health and healing technology that will be launching in 2026; and an emerging plant-based technology in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8" w:lineRule="exact"/>
        <w:rPr>
          <w:sz w:val="20"/>
          <w:szCs w:val="20"/>
          <w:color w:val="auto"/>
        </w:rPr>
      </w:pPr>
    </w:p>
    <w:p>
      <w:pPr>
        <w:jc w:val="both"/>
        <w:ind w:right="280"/>
        <w:spacing w:after="0" w:line="235" w:lineRule="auto"/>
        <w:rPr>
          <w:sz w:val="20"/>
          <w:szCs w:val="20"/>
          <w:color w:val="auto"/>
        </w:rPr>
      </w:pPr>
      <w:r>
        <w:rPr>
          <w:rFonts w:ascii="Times New Roman" w:cs="Times New Roman" w:eastAsia="Times New Roman" w:hAnsi="Times New Roman"/>
          <w:sz w:val="22"/>
          <w:szCs w:val="22"/>
          <w:color w:val="auto"/>
        </w:rPr>
        <w:t>Solésence will host its fourth quarter conference call on Tuesday, March 31, 2026 at 7:30 a.m. CT, 8:30 a.m. ET, to discuss its financial results and provide a business and financial update. On the call will be Kevin Cureton, President and Chief Executive Officer, and Laura Riffner, Chief Financial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Webcast Link: </w:t>
      </w:r>
      <w:r>
        <w:rPr>
          <w:rFonts w:ascii="Times New Roman" w:cs="Times New Roman" w:eastAsia="Times New Roman" w:hAnsi="Times New Roman"/>
          <w:sz w:val="22"/>
          <w:szCs w:val="22"/>
          <w:color w:val="auto"/>
        </w:rPr>
        <w:t>https://edge.media-server.com/mmc/p/btv3gq6b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Dial-In Link: </w:t>
      </w:r>
      <w:r>
        <w:rPr>
          <w:rFonts w:ascii="Times New Roman" w:cs="Times New Roman" w:eastAsia="Times New Roman" w:hAnsi="Times New Roman"/>
          <w:sz w:val="22"/>
          <w:szCs w:val="22"/>
          <w:color w:val="auto"/>
        </w:rPr>
        <w:t>https://register-conf.media-server.com/register/BI2103cfa8634b4409927981d42999af41</w:t>
      </w:r>
    </w:p>
    <w:p>
      <w:pPr>
        <w:spacing w:after="0" w:line="21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To receive the dial-in number, as well as your personalized PIN, you must register at the above link. Once registered, you will also have the option to have the system dial-out to you once the conference call begins. If you forget your PIN prior to the conference call, you can simply re-register.</w:t>
      </w:r>
    </w:p>
    <w:p>
      <w:pPr>
        <w:sectPr>
          <w:pgSz w:w="11900" w:h="16838" w:orient="portrait"/>
          <w:cols w:equalWidth="0" w:num="1">
            <w:col w:w="11240"/>
          </w:cols>
          <w:pgMar w:left="320" w:top="108" w:right="339" w:bottom="0" w:gutter="0" w:footer="0" w:header="0"/>
        </w:sectPr>
      </w:pPr>
    </w:p>
    <w:bookmarkStart w:id="4" w:name="page5"/>
    <w:bookmarkEnd w:id="4"/>
    <w:p>
      <w:pPr>
        <w:ind w:right="520"/>
        <w:spacing w:after="0" w:line="259" w:lineRule="auto"/>
        <w:rPr>
          <w:sz w:val="20"/>
          <w:szCs w:val="20"/>
          <w:color w:val="auto"/>
        </w:rPr>
      </w:pPr>
      <w:r>
        <w:rPr>
          <w:rFonts w:ascii="Times New Roman" w:cs="Times New Roman" w:eastAsia="Times New Roman" w:hAnsi="Times New Roman"/>
          <w:sz w:val="22"/>
          <w:szCs w:val="22"/>
          <w:color w:val="auto"/>
        </w:rPr>
        <w:t>The call may also be accessed through the Company’s investor relations website, at https://ir.solesence.com/. Please join the conference call at least five minutes prior to the start time.</w:t>
      </w:r>
    </w:p>
    <w:p>
      <w:pPr>
        <w:spacing w:after="0" w:line="153" w:lineRule="exact"/>
        <w:rPr>
          <w:sz w:val="20"/>
          <w:szCs w:val="20"/>
          <w:color w:val="auto"/>
        </w:rPr>
      </w:pPr>
    </w:p>
    <w:p>
      <w:pPr>
        <w:ind w:right="5600"/>
        <w:spacing w:after="0" w:line="346" w:lineRule="auto"/>
        <w:rPr>
          <w:sz w:val="20"/>
          <w:szCs w:val="20"/>
          <w:color w:val="auto"/>
        </w:rPr>
      </w:pPr>
      <w:r>
        <w:rPr>
          <w:rFonts w:ascii="Times New Roman" w:cs="Times New Roman" w:eastAsia="Times New Roman" w:hAnsi="Times New Roman"/>
          <w:sz w:val="22"/>
          <w:szCs w:val="22"/>
          <w:b w:val="1"/>
          <w:bCs w:val="1"/>
          <w:color w:val="auto"/>
        </w:rPr>
        <w:t>FINANCIAL RESULTS AND NON-GAAP INFORMATION Use of Non-GAAP Financial Information</w:t>
      </w:r>
    </w:p>
    <w:p>
      <w:pPr>
        <w:spacing w:after="0" w:line="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Solésence believes that the presentation of results excluding certain items, such as non-cash equity compensation charges, provides meaningful supplemental information to both management and investors, facilitating the evaluation of performance across reporting periods. The Company uses these non-GAAP measures for internal planning and reporting purposes. These non-GAAP measures are not in accordance with, or an alternative for, Generally Accepted Accounting Principles (“GAAP”) and may be different from non-GAAP measures used by other companies. The presentation of this additional information is not meant to be considered in isolation or as a substitute for net income or net income per share prepared in accordance with GAAP.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Solésence, Inc.</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Solésence, Inc. (Nasdaq: SLSN), is a leader in scientifically-driven health care solutions across beauty and life science categories. With a mission to deliver joy through innovation, inclusivity and the science of beautiful skin, we have redefined mineral-based sun protection by maximizing transparency, effectiveness, aesthetics, and wearability — empowering individuals to embrace beauty on their own terms. Combining best-in-class skin health solutions with the celebration of self-care, we allow brands to deliver unique product claims and attributes by seamlessly integrating protection, prevention, and treatment technologies into daily use products. Learn more at solesence.com.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This press release contains words such as “expects,” “shall,” “will,” “believes,” and similar expressions that are intended to identify forward-looking statements within the meaning of the Safe Harbor Provisions of the Private Securities Litigation Reform Act of 1995. Such statements in this announcement are made based on the Company’s current beliefs, known events and circumstances at the time of publication, and as such, are subject in the future to unforeseen risks and uncertainties that could cause the Company’s results of operations, performance, and achievements to differ materially from current expectations expressed in, or implied by, these forward-looking statements. These risks and uncertainties include, without limitation, the following: a decision by a customer to cancel a purchase order or supply agreement in light of the Company’s dependence on a limited number of key customers; uncertain demand for, and acceptance of, the Company’s engineered materials, ingredients, and fully formulated products; the Company’s manufacturing capacity and product mix flexibility in light of customer demand; the Company’s limited marketing experience; changes in development and distribution relationships; the impact of competitive products and technologies; the Company’s dependence on patents and protection of proprietary information; the resolution of litigation in which the Company may become involved; the impact of any potential new government regulations that could be difficult to respond to or too costly to comply with while remaining financially viable; the ability of the Company to maintain an appropriate electronic trading venue; and other factors described in the Company’s Form 10-K filed March 31, 2026. In addition, the Company’s forward-looking statements could be affected by general industry and market conditions and growth rates. Except as required by federal securities laws, the Company undertakes no obligation to update or revise these forward-looking statements to reflect new events, uncertainties, or other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media@solesence.com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investors@solesence.com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SOLÉSENCE,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Consolidated Condensed)</w:t>
      </w:r>
    </w:p>
    <w:p>
      <w:pPr>
        <w:spacing w:after="0" w:line="27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22"/>
          <w:szCs w:val="22"/>
          <w:b w:val="1"/>
          <w:bCs w:val="1"/>
          <w:color w:val="auto"/>
        </w:rPr>
        <w:t>(in thousands except share and</w:t>
      </w:r>
    </w:p>
    <w:p>
      <w:pPr>
        <w:spacing w:after="0" w:line="1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22"/>
          <w:szCs w:val="22"/>
          <w:b w:val="1"/>
          <w:bCs w:val="1"/>
          <w:color w:val="auto"/>
        </w:rPr>
        <w:t>per share data)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8200" w:type="dxa"/>
            <w:vAlign w:val="bottom"/>
          </w:tcPr>
          <w:p>
            <w:pPr>
              <w:spacing w:after="0"/>
              <w:rPr>
                <w:sz w:val="22"/>
                <w:szCs w:val="22"/>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70"/>
        </w:trPr>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86"/>
        </w:trPr>
        <w:tc>
          <w:tcPr>
            <w:tcW w:w="8200" w:type="dxa"/>
            <w:vAlign w:val="bottom"/>
          </w:tcPr>
          <w:p>
            <w:pPr>
              <w:ind w:left="368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1"/>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1,288</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1,409</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Trade accounts receivable</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5,655</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Allowance for credit losses</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(786)</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Trade accounts receivable, net</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4,869</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 net</w:t>
            </w: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18,511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20,267</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2,141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2,803</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28,776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29,348</w:t>
            </w:r>
          </w:p>
        </w:tc>
      </w:tr>
    </w:tbl>
    <w:p>
      <w:pPr>
        <w:sectPr>
          <w:pgSz w:w="11900" w:h="16838" w:orient="portrait"/>
          <w:cols w:equalWidth="0" w:num="1">
            <w:col w:w="11240"/>
          </w:cols>
          <w:pgMar w:left="320" w:top="112" w:right="339" w:bottom="56" w:gutter="0" w:footer="0" w:header="0"/>
        </w:sectPr>
      </w:pPr>
    </w:p>
    <w:bookmarkStart w:id="5" w:name="page6"/>
    <w:bookmarkEnd w:id="5"/>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Equipment and leasehold improvements, net</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14,329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12,734</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Operating leases, right of use</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7,917</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assets, net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assets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50,055</w:t>
            </w:r>
          </w:p>
        </w:tc>
        <w:tc>
          <w:tcPr>
            <w:tcW w:w="100" w:type="dxa"/>
            <w:vAlign w:val="bottom"/>
          </w:tcPr>
          <w:p>
            <w:pPr>
              <w:spacing w:after="0"/>
              <w:rPr>
                <w:sz w:val="23"/>
                <w:szCs w:val="23"/>
                <w:color w:val="auto"/>
              </w:rPr>
            </w:pPr>
          </w:p>
        </w:tc>
        <w:tc>
          <w:tcPr>
            <w:tcW w:w="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50,002</w:t>
            </w:r>
          </w:p>
        </w:tc>
        <w:tc>
          <w:tcPr>
            <w:tcW w:w="0" w:type="dxa"/>
            <w:vAlign w:val="bottom"/>
          </w:tcPr>
          <w:p>
            <w:pPr>
              <w:spacing w:after="0"/>
              <w:rPr>
                <w:sz w:val="1"/>
                <w:szCs w:val="1"/>
                <w:color w:val="auto"/>
              </w:rPr>
            </w:pPr>
          </w:p>
        </w:tc>
      </w:tr>
      <w:tr>
        <w:trPr>
          <w:trHeight w:val="21"/>
        </w:trPr>
        <w:tc>
          <w:tcPr>
            <w:tcW w:w="6840" w:type="dxa"/>
            <w:vAlign w:val="bottom"/>
            <w:gridSpan w:val="4"/>
            <w:vMerge w:val="restart"/>
          </w:tcPr>
          <w:p>
            <w:pPr>
              <w:ind w:left="1760"/>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684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Line of credit, accounts receivable, related party</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4,767</w:t>
            </w:r>
          </w:p>
        </w:tc>
        <w:tc>
          <w:tcPr>
            <w:tcW w:w="100" w:type="dxa"/>
            <w:vAlign w:val="bottom"/>
          </w:tcPr>
          <w:p>
            <w:pPr>
              <w:spacing w:after="0"/>
              <w:rPr>
                <w:sz w:val="23"/>
                <w:szCs w:val="23"/>
                <w:color w:val="auto"/>
              </w:rPr>
            </w:pPr>
          </w:p>
        </w:tc>
        <w:tc>
          <w:tcPr>
            <w:tcW w:w="40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line of credit, inventory, related party</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debt, related parties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operating lease obligations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1,260</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9,093</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Deferred revenue</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5,571</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Accrued expenses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2,879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4,849</w:t>
            </w:r>
          </w:p>
        </w:tc>
        <w:tc>
          <w:tcPr>
            <w:tcW w:w="0" w:type="dxa"/>
            <w:vAlign w:val="bottom"/>
          </w:tcPr>
          <w:p>
            <w:pPr>
              <w:spacing w:after="0"/>
              <w:rPr>
                <w:sz w:val="1"/>
                <w:szCs w:val="1"/>
                <w:color w:val="auto"/>
              </w:rPr>
            </w:pP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13,929</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25,773</w:t>
            </w:r>
          </w:p>
        </w:tc>
        <w:tc>
          <w:tcPr>
            <w:tcW w:w="0" w:type="dxa"/>
            <w:vAlign w:val="bottom"/>
          </w:tcPr>
          <w:p>
            <w:pPr>
              <w:spacing w:after="0"/>
              <w:rPr>
                <w:sz w:val="1"/>
                <w:szCs w:val="1"/>
                <w:color w:val="auto"/>
              </w:rPr>
            </w:pPr>
          </w:p>
        </w:tc>
      </w:tr>
      <w:tr>
        <w:trPr>
          <w:trHeight w:val="52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Long-term portion of operating lease obligations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7,798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9,037</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Long-term portion of line of credit, inventory, related party</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Long-term portion of debt, related parties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Asset retirement obligations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18,492</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9,283</w:t>
            </w:r>
          </w:p>
        </w:tc>
        <w:tc>
          <w:tcPr>
            <w:tcW w:w="0" w:type="dxa"/>
            <w:vAlign w:val="bottom"/>
          </w:tcPr>
          <w:p>
            <w:pPr>
              <w:spacing w:after="0"/>
              <w:rPr>
                <w:sz w:val="1"/>
                <w:szCs w:val="1"/>
                <w:color w:val="auto"/>
              </w:rPr>
            </w:pP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Stockholders' equity: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Preferred stock, $.01 par value, 24,088 shares authorized and</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shares issued and outstanding</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Common stock, $.01 par value, 95,000,000 shares authorized;</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70,614,045 and 70,103,279 shares issued and outstanding on</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December 31, 2025 and 2024, respectively</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115,566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114,674</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deficit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(98,638)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(100,428)</w:t>
            </w:r>
          </w:p>
        </w:tc>
        <w:tc>
          <w:tcPr>
            <w:tcW w:w="0" w:type="dxa"/>
            <w:vAlign w:val="bottom"/>
          </w:tcPr>
          <w:p>
            <w:pPr>
              <w:spacing w:after="0"/>
              <w:rPr>
                <w:sz w:val="1"/>
                <w:szCs w:val="1"/>
                <w:color w:val="auto"/>
              </w:rPr>
            </w:pP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17,634</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14,946</w:t>
            </w:r>
          </w:p>
        </w:tc>
        <w:tc>
          <w:tcPr>
            <w:tcW w:w="0" w:type="dxa"/>
            <w:vAlign w:val="bottom"/>
          </w:tcPr>
          <w:p>
            <w:pPr>
              <w:spacing w:after="0"/>
              <w:rPr>
                <w:sz w:val="1"/>
                <w:szCs w:val="1"/>
                <w:color w:val="auto"/>
              </w:rPr>
            </w:pPr>
          </w:p>
        </w:tc>
      </w:tr>
      <w:tr>
        <w:trPr>
          <w:trHeight w:val="263"/>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liabilities and shareholders' equity</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50,055</w:t>
            </w:r>
          </w:p>
        </w:tc>
        <w:tc>
          <w:tcPr>
            <w:tcW w:w="100" w:type="dxa"/>
            <w:vAlign w:val="bottom"/>
          </w:tcPr>
          <w:p>
            <w:pPr>
              <w:spacing w:after="0"/>
              <w:rPr>
                <w:sz w:val="22"/>
                <w:szCs w:val="22"/>
                <w:color w:val="auto"/>
              </w:rPr>
            </w:pPr>
          </w:p>
        </w:tc>
        <w:tc>
          <w:tcPr>
            <w:tcW w:w="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50,002</w:t>
            </w:r>
          </w:p>
        </w:tc>
        <w:tc>
          <w:tcPr>
            <w:tcW w:w="0" w:type="dxa"/>
            <w:vAlign w:val="bottom"/>
          </w:tcPr>
          <w:p>
            <w:pPr>
              <w:spacing w:after="0"/>
              <w:rPr>
                <w:sz w:val="1"/>
                <w:szCs w:val="1"/>
                <w:color w:val="auto"/>
              </w:rPr>
            </w:pPr>
          </w:p>
        </w:tc>
      </w:tr>
      <w:tr>
        <w:trPr>
          <w:trHeight w:val="20"/>
        </w:trPr>
        <w:tc>
          <w:tcPr>
            <w:tcW w:w="6840" w:type="dxa"/>
            <w:vAlign w:val="bottom"/>
            <w:gridSpan w:val="4"/>
            <w:vMerge w:val="restart"/>
          </w:tcPr>
          <w:p>
            <w:pPr>
              <w:jc w:val="center"/>
              <w:ind w:left="4252"/>
              <w:spacing w:after="0"/>
              <w:rPr>
                <w:sz w:val="20"/>
                <w:szCs w:val="20"/>
                <w:color w:val="auto"/>
              </w:rPr>
            </w:pPr>
            <w:r>
              <w:rPr>
                <w:rFonts w:ascii="Times New Roman" w:cs="Times New Roman" w:eastAsia="Times New Roman" w:hAnsi="Times New Roman"/>
                <w:sz w:val="22"/>
                <w:szCs w:val="22"/>
                <w:b w:val="1"/>
                <w:bCs w:val="1"/>
                <w:color w:val="auto"/>
                <w:w w:val="98"/>
              </w:rPr>
              <w:t>SOLÉSENCE, INC</w:t>
            </w: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684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20" w:type="dxa"/>
            <w:vAlign w:val="bottom"/>
            <w:gridSpan w:val="8"/>
          </w:tcPr>
          <w:p>
            <w:pPr>
              <w:jc w:val="center"/>
              <w:ind w:left="2692"/>
              <w:spacing w:after="0"/>
              <w:rPr>
                <w:sz w:val="20"/>
                <w:szCs w:val="20"/>
                <w:color w:val="auto"/>
              </w:rPr>
            </w:pPr>
            <w:r>
              <w:rPr>
                <w:rFonts w:ascii="Times New Roman" w:cs="Times New Roman" w:eastAsia="Times New Roman" w:hAnsi="Times New Roman"/>
                <w:sz w:val="22"/>
                <w:szCs w:val="22"/>
                <w:b w:val="1"/>
                <w:bCs w:val="1"/>
                <w:color w:val="auto"/>
                <w:w w:val="97"/>
              </w:rPr>
              <w:t>CONSOLIDATED STATEMENTS OF OPERATIONS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gridSpan w:val="5"/>
          </w:tcPr>
          <w:p>
            <w:pPr>
              <w:jc w:val="center"/>
              <w:ind w:left="3772"/>
              <w:spacing w:after="0"/>
              <w:rPr>
                <w:sz w:val="20"/>
                <w:szCs w:val="20"/>
                <w:color w:val="auto"/>
              </w:rPr>
            </w:pPr>
            <w:r>
              <w:rPr>
                <w:rFonts w:ascii="Times New Roman" w:cs="Times New Roman" w:eastAsia="Times New Roman" w:hAnsi="Times New Roman"/>
                <w:sz w:val="22"/>
                <w:szCs w:val="22"/>
                <w:b w:val="1"/>
                <w:bCs w:val="1"/>
                <w:color w:val="auto"/>
                <w:w w:val="98"/>
              </w:rPr>
              <w:t>(Unaudited Consolidated Condensed)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8420" w:type="dxa"/>
            <w:vAlign w:val="bottom"/>
            <w:gridSpan w:val="8"/>
          </w:tcPr>
          <w:p>
            <w:pPr>
              <w:jc w:val="center"/>
              <w:ind w:left="2692"/>
              <w:spacing w:after="0"/>
              <w:rPr>
                <w:sz w:val="20"/>
                <w:szCs w:val="20"/>
                <w:color w:val="auto"/>
              </w:rPr>
            </w:pPr>
            <w:r>
              <w:rPr>
                <w:rFonts w:ascii="Times New Roman" w:cs="Times New Roman" w:eastAsia="Times New Roman" w:hAnsi="Times New Roman"/>
                <w:sz w:val="22"/>
                <w:szCs w:val="22"/>
                <w:b w:val="1"/>
                <w:bCs w:val="1"/>
                <w:color w:val="auto"/>
                <w:w w:val="98"/>
              </w:rPr>
              <w:t>(in thousands except share and per share data)</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6"/>
          </w:tcPr>
          <w:p>
            <w:pPr>
              <w:jc w:val="right"/>
              <w:ind w:right="6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4"/>
                <w:szCs w:val="24"/>
                <w:color w:val="auto"/>
              </w:rPr>
            </w:pPr>
          </w:p>
        </w:tc>
        <w:tc>
          <w:tcPr>
            <w:tcW w:w="2540" w:type="dxa"/>
            <w:vAlign w:val="bottom"/>
            <w:gridSpan w:val="5"/>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6"/>
              </w:rPr>
              <w:t>Twelve months ended</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80" w:type="dxa"/>
            <w:vAlign w:val="bottom"/>
            <w:gridSpan w:val="6"/>
          </w:tcPr>
          <w:p>
            <w:pPr>
              <w:jc w:val="right"/>
              <w:ind w:right="1000"/>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260" w:type="dxa"/>
            <w:vAlign w:val="bottom"/>
          </w:tcPr>
          <w:p>
            <w:pPr>
              <w:spacing w:after="0"/>
              <w:rPr>
                <w:sz w:val="23"/>
                <w:szCs w:val="23"/>
                <w:color w:val="auto"/>
              </w:rPr>
            </w:pPr>
          </w:p>
        </w:tc>
        <w:tc>
          <w:tcPr>
            <w:tcW w:w="2540" w:type="dxa"/>
            <w:vAlign w:val="bottom"/>
            <w:gridSpan w:val="5"/>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0" w:type="dxa"/>
            <w:vAlign w:val="bottom"/>
          </w:tcPr>
          <w:p>
            <w:pPr>
              <w:spacing w:after="0"/>
              <w:rPr>
                <w:sz w:val="1"/>
                <w:szCs w:val="1"/>
                <w:color w:val="auto"/>
              </w:rPr>
            </w:pPr>
          </w:p>
        </w:tc>
      </w:tr>
      <w:tr>
        <w:trPr>
          <w:trHeight w:val="287"/>
        </w:trPr>
        <w:tc>
          <w:tcPr>
            <w:tcW w:w="52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revenue</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12,425</w:t>
            </w:r>
          </w:p>
        </w:tc>
        <w:tc>
          <w:tcPr>
            <w:tcW w:w="10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12,411</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61,794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51,890</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revenue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156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457</w:t>
            </w:r>
          </w:p>
        </w:tc>
        <w:tc>
          <w:tcPr>
            <w:tcW w:w="0" w:type="dxa"/>
            <w:vAlign w:val="bottom"/>
          </w:tcPr>
          <w:p>
            <w:pPr>
              <w:spacing w:after="0"/>
              <w:rPr>
                <w:sz w:val="1"/>
                <w:szCs w:val="1"/>
                <w:color w:val="auto"/>
              </w:rPr>
            </w:pPr>
          </w:p>
        </w:tc>
      </w:tr>
      <w:tr>
        <w:trPr>
          <w:trHeight w:val="277"/>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revenue</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12,483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12,567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62,064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52,347</w:t>
            </w:r>
          </w:p>
        </w:tc>
        <w:tc>
          <w:tcPr>
            <w:tcW w:w="0" w:type="dxa"/>
            <w:vAlign w:val="bottom"/>
          </w:tcPr>
          <w:p>
            <w:pPr>
              <w:spacing w:after="0"/>
              <w:rPr>
                <w:sz w:val="1"/>
                <w:szCs w:val="1"/>
                <w:color w:val="auto"/>
              </w:rPr>
            </w:pPr>
          </w:p>
        </w:tc>
      </w:tr>
      <w:tr>
        <w:trPr>
          <w:trHeight w:val="526"/>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revenue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9,049</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9,801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46,001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36,159</w:t>
            </w:r>
          </w:p>
        </w:tc>
        <w:tc>
          <w:tcPr>
            <w:tcW w:w="0" w:type="dxa"/>
            <w:vAlign w:val="bottom"/>
          </w:tcPr>
          <w:p>
            <w:pPr>
              <w:spacing w:after="0"/>
              <w:rPr>
                <w:sz w:val="1"/>
                <w:szCs w:val="1"/>
                <w:color w:val="auto"/>
              </w:rPr>
            </w:pPr>
          </w:p>
        </w:tc>
      </w:tr>
      <w:tr>
        <w:trPr>
          <w:trHeight w:val="277"/>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Gross profit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16,063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16,188</w:t>
            </w:r>
          </w:p>
        </w:tc>
        <w:tc>
          <w:tcPr>
            <w:tcW w:w="0" w:type="dxa"/>
            <w:vAlign w:val="bottom"/>
          </w:tcPr>
          <w:p>
            <w:pPr>
              <w:spacing w:after="0"/>
              <w:rPr>
                <w:sz w:val="1"/>
                <w:szCs w:val="1"/>
                <w:color w:val="auto"/>
              </w:rPr>
            </w:pPr>
          </w:p>
        </w:tc>
      </w:tr>
      <w:tr>
        <w:trPr>
          <w:trHeight w:val="514"/>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expense: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 expense</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4,090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3,837</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general and administrative expense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2,213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1,898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10,401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7,219</w:t>
            </w:r>
          </w:p>
        </w:tc>
        <w:tc>
          <w:tcPr>
            <w:tcW w:w="0" w:type="dxa"/>
            <w:vAlign w:val="bottom"/>
          </w:tcPr>
          <w:p>
            <w:pPr>
              <w:spacing w:after="0"/>
              <w:rPr>
                <w:sz w:val="1"/>
                <w:szCs w:val="1"/>
                <w:color w:val="auto"/>
              </w:rPr>
            </w:pPr>
          </w:p>
        </w:tc>
      </w:t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(loss) from operations</w:t>
            </w:r>
          </w:p>
        </w:tc>
        <w:tc>
          <w:tcPr>
            <w:tcW w:w="3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spacing w:after="0" w:line="251" w:lineRule="exact"/>
              <w:rPr>
                <w:sz w:val="20"/>
                <w:szCs w:val="20"/>
                <w:color w:val="auto"/>
              </w:rPr>
            </w:pPr>
            <w:r>
              <w:rPr>
                <w:rFonts w:ascii="Times New Roman" w:cs="Times New Roman" w:eastAsia="Times New Roman" w:hAnsi="Times New Roman"/>
                <w:sz w:val="22"/>
                <w:szCs w:val="22"/>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1,572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5,132</w:t>
            </w: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w:t>
            </w:r>
          </w:p>
        </w:tc>
        <w:tc>
          <w:tcPr>
            <w:tcW w:w="0" w:type="dxa"/>
            <w:vAlign w:val="bottom"/>
          </w:tcPr>
          <w:p>
            <w:pPr>
              <w:spacing w:after="0"/>
              <w:rPr>
                <w:sz w:val="1"/>
                <w:szCs w:val="1"/>
                <w:color w:val="auto"/>
              </w:rPr>
            </w:pP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 net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1,222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(loss) before provision for income taxes</w:t>
            </w:r>
          </w:p>
        </w:tc>
        <w:tc>
          <w:tcPr>
            <w:tcW w:w="3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spacing w:after="0" w:line="251" w:lineRule="exact"/>
              <w:rPr>
                <w:sz w:val="20"/>
                <w:szCs w:val="20"/>
                <w:color w:val="auto"/>
              </w:rPr>
            </w:pPr>
            <w:r>
              <w:rPr>
                <w:rFonts w:ascii="Times New Roman" w:cs="Times New Roman" w:eastAsia="Times New Roman" w:hAnsi="Times New Roman"/>
                <w:sz w:val="22"/>
                <w:szCs w:val="22"/>
                <w:color w:val="auto"/>
              </w:rPr>
              <w:t>(331)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1,863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4,462</w:t>
            </w:r>
          </w:p>
        </w:tc>
        <w:tc>
          <w:tcPr>
            <w:tcW w:w="0" w:type="dxa"/>
            <w:vAlign w:val="bottom"/>
          </w:tcPr>
          <w:p>
            <w:pPr>
              <w:spacing w:after="0"/>
              <w:rPr>
                <w:sz w:val="1"/>
                <w:szCs w:val="1"/>
                <w:color w:val="auto"/>
              </w:rPr>
            </w:pP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(317)</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942" w:orient="portrait"/>
          <w:cols w:equalWidth="0" w:num="1">
            <w:col w:w="11220"/>
          </w:cols>
          <w:pgMar w:left="340" w:top="11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1,790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4,235</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income (loss) per share-basic</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0" w:type="dxa"/>
            <w:vAlign w:val="bottom"/>
          </w:tcPr>
          <w:p>
            <w:pPr>
              <w:spacing w:after="0"/>
              <w:rPr>
                <w:sz w:val="1"/>
                <w:szCs w:val="1"/>
                <w:color w:val="auto"/>
              </w:rPr>
            </w:pPr>
          </w:p>
        </w:tc>
      </w:tr>
      <w:tr>
        <w:trPr>
          <w:trHeight w:val="21"/>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Weighted average number of common shares outstanding -</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70,565,573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70,011,564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70,344,152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62,350,459</w:t>
            </w:r>
          </w:p>
        </w:tc>
        <w:tc>
          <w:tcPr>
            <w:tcW w:w="0" w:type="dxa"/>
            <w:vAlign w:val="bottom"/>
          </w:tcPr>
          <w:p>
            <w:pPr>
              <w:spacing w:after="0"/>
              <w:rPr>
                <w:sz w:val="1"/>
                <w:szCs w:val="1"/>
                <w:color w:val="auto"/>
              </w:rPr>
            </w:pPr>
          </w:p>
        </w:tc>
      </w:tr>
      <w:tr>
        <w:trPr>
          <w:trHeight w:val="257"/>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basic</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income (loss) per share-diluted</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Weighted average number of common shares outstanding -</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72,808,204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70,011,564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72,579,715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65,028,815</w:t>
            </w:r>
          </w:p>
        </w:tc>
        <w:tc>
          <w:tcPr>
            <w:tcW w:w="0" w:type="dxa"/>
            <w:vAlign w:val="bottom"/>
          </w:tcPr>
          <w:p>
            <w:pPr>
              <w:spacing w:after="0"/>
              <w:rPr>
                <w:sz w:val="1"/>
                <w:szCs w:val="1"/>
                <w:color w:val="auto"/>
              </w:rPr>
            </w:pPr>
          </w:p>
        </w:tc>
      </w:tr>
      <w:tr>
        <w:trPr>
          <w:trHeight w:val="257"/>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diluted</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6840" w:type="dxa"/>
            <w:vAlign w:val="bottom"/>
            <w:gridSpan w:val="5"/>
          </w:tcPr>
          <w:p>
            <w:pPr>
              <w:jc w:val="center"/>
              <w:ind w:left="4252"/>
              <w:spacing w:after="0"/>
              <w:rPr>
                <w:sz w:val="20"/>
                <w:szCs w:val="20"/>
                <w:color w:val="auto"/>
              </w:rPr>
            </w:pPr>
            <w:r>
              <w:rPr>
                <w:rFonts w:ascii="Times New Roman" w:cs="Times New Roman" w:eastAsia="Times New Roman" w:hAnsi="Times New Roman"/>
                <w:sz w:val="22"/>
                <w:szCs w:val="22"/>
                <w:b w:val="1"/>
                <w:bCs w:val="1"/>
                <w:color w:val="auto"/>
                <w:w w:val="98"/>
              </w:rPr>
              <w:t>SOLÉSENCE, INC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60" w:type="dxa"/>
            <w:vAlign w:val="bottom"/>
            <w:gridSpan w:val="11"/>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CONSOLIDATED STATEMENTS OF OPERATIONS - EXPANDED SCHEDULE</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gridSpan w:val="8"/>
          </w:tcPr>
          <w:p>
            <w:pPr>
              <w:jc w:val="center"/>
              <w:ind w:left="2692"/>
              <w:spacing w:after="0"/>
              <w:rPr>
                <w:sz w:val="20"/>
                <w:szCs w:val="20"/>
                <w:color w:val="auto"/>
              </w:rPr>
            </w:pPr>
            <w:r>
              <w:rPr>
                <w:rFonts w:ascii="Times New Roman" w:cs="Times New Roman" w:eastAsia="Times New Roman" w:hAnsi="Times New Roman"/>
                <w:sz w:val="22"/>
                <w:szCs w:val="22"/>
                <w:b w:val="1"/>
                <w:bCs w:val="1"/>
                <w:color w:val="auto"/>
                <w:w w:val="98"/>
              </w:rPr>
              <w:t>(Unaudited Consolidated Condensed)</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8420" w:type="dxa"/>
            <w:vAlign w:val="bottom"/>
            <w:gridSpan w:val="8"/>
          </w:tcPr>
          <w:p>
            <w:pPr>
              <w:jc w:val="center"/>
              <w:ind w:left="2692"/>
              <w:spacing w:after="0"/>
              <w:rPr>
                <w:sz w:val="20"/>
                <w:szCs w:val="20"/>
                <w:color w:val="auto"/>
              </w:rPr>
            </w:pPr>
            <w:r>
              <w:rPr>
                <w:rFonts w:ascii="Times New Roman" w:cs="Times New Roman" w:eastAsia="Times New Roman" w:hAnsi="Times New Roman"/>
                <w:sz w:val="22"/>
                <w:szCs w:val="22"/>
                <w:b w:val="1"/>
                <w:bCs w:val="1"/>
                <w:color w:val="auto"/>
                <w:w w:val="98"/>
              </w:rPr>
              <w:t>(in thousands except share and per share data)</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240" w:type="dxa"/>
            <w:vAlign w:val="bottom"/>
          </w:tcPr>
          <w:p>
            <w:pPr>
              <w:spacing w:after="0"/>
              <w:rPr>
                <w:sz w:val="24"/>
                <w:szCs w:val="24"/>
                <w:color w:val="auto"/>
              </w:rPr>
            </w:pPr>
          </w:p>
        </w:tc>
        <w:tc>
          <w:tcPr>
            <w:tcW w:w="2560" w:type="dxa"/>
            <w:vAlign w:val="bottom"/>
            <w:gridSpan w:val="4"/>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240" w:type="dxa"/>
            <w:vAlign w:val="bottom"/>
          </w:tcPr>
          <w:p>
            <w:pPr>
              <w:spacing w:after="0"/>
              <w:rPr>
                <w:sz w:val="23"/>
                <w:szCs w:val="23"/>
                <w:color w:val="auto"/>
              </w:rPr>
            </w:pPr>
          </w:p>
        </w:tc>
        <w:tc>
          <w:tcPr>
            <w:tcW w:w="2560" w:type="dxa"/>
            <w:vAlign w:val="bottom"/>
            <w:gridSpan w:val="4"/>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87"/>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2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Product revenue</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12,425</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12,411</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61,794</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51,890</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457</w:t>
            </w:r>
          </w:p>
        </w:tc>
        <w:tc>
          <w:tcPr>
            <w:tcW w:w="0" w:type="dxa"/>
            <w:vAlign w:val="bottom"/>
          </w:tcPr>
          <w:p>
            <w:pPr>
              <w:spacing w:after="0"/>
              <w:rPr>
                <w:sz w:val="1"/>
                <w:szCs w:val="1"/>
                <w:color w:val="auto"/>
              </w:rPr>
            </w:pPr>
          </w:p>
        </w:tc>
      </w:tr>
      <w:tr>
        <w:trPr>
          <w:trHeight w:val="277"/>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Net revenue</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62,064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52,347</w:t>
            </w:r>
          </w:p>
        </w:tc>
        <w:tc>
          <w:tcPr>
            <w:tcW w:w="0" w:type="dxa"/>
            <w:vAlign w:val="bottom"/>
          </w:tcPr>
          <w:p>
            <w:pPr>
              <w:spacing w:after="0"/>
              <w:rPr>
                <w:sz w:val="1"/>
                <w:szCs w:val="1"/>
                <w:color w:val="auto"/>
              </w:rPr>
            </w:pPr>
          </w:p>
        </w:tc>
      </w:tr>
      <w:tr>
        <w:trPr>
          <w:trHeight w:val="514"/>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Cost of revenue detail:</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Depreciation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881</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costs of revenue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8,798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9,539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45,028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35,154</w:t>
            </w:r>
          </w:p>
        </w:tc>
        <w:tc>
          <w:tcPr>
            <w:tcW w:w="0" w:type="dxa"/>
            <w:vAlign w:val="bottom"/>
          </w:tcPr>
          <w:p>
            <w:pPr>
              <w:spacing w:after="0"/>
              <w:rPr>
                <w:sz w:val="1"/>
                <w:szCs w:val="1"/>
                <w:color w:val="auto"/>
              </w:rPr>
            </w:pPr>
          </w:p>
        </w:tc>
      </w:tr>
      <w:tr>
        <w:trPr>
          <w:trHeight w:val="265"/>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Cost of revenue</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9,049</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9,801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46,001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36,159</w:t>
            </w:r>
          </w:p>
        </w:tc>
        <w:tc>
          <w:tcPr>
            <w:tcW w:w="0" w:type="dxa"/>
            <w:vAlign w:val="bottom"/>
          </w:tcPr>
          <w:p>
            <w:pPr>
              <w:spacing w:after="0"/>
              <w:rPr>
                <w:sz w:val="1"/>
                <w:szCs w:val="1"/>
                <w:color w:val="auto"/>
              </w:rPr>
            </w:pPr>
          </w:p>
        </w:tc>
      </w:tr>
      <w:tr>
        <w:trPr>
          <w:trHeight w:val="276"/>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Gross profit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16,188</w:t>
            </w:r>
          </w:p>
        </w:tc>
        <w:tc>
          <w:tcPr>
            <w:tcW w:w="0" w:type="dxa"/>
            <w:vAlign w:val="bottom"/>
          </w:tcPr>
          <w:p>
            <w:pPr>
              <w:spacing w:after="0"/>
              <w:rPr>
                <w:sz w:val="1"/>
                <w:szCs w:val="1"/>
                <w:color w:val="auto"/>
              </w:rPr>
            </w:pPr>
          </w:p>
        </w:tc>
      </w:tr>
      <w:tr>
        <w:trPr>
          <w:trHeight w:val="510"/>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Operating expense: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Research and development expense detail:</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Depreciation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research and development expense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3,664</w:t>
            </w:r>
          </w:p>
        </w:tc>
        <w:tc>
          <w:tcPr>
            <w:tcW w:w="0" w:type="dxa"/>
            <w:vAlign w:val="bottom"/>
          </w:tcPr>
          <w:p>
            <w:pPr>
              <w:spacing w:after="0"/>
              <w:rPr>
                <w:sz w:val="1"/>
                <w:szCs w:val="1"/>
                <w:color w:val="auto"/>
              </w:rPr>
            </w:pPr>
          </w:p>
        </w:tc>
      </w:tr>
      <w:tr>
        <w:trPr>
          <w:trHeight w:val="277"/>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Research and development expense</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3,837</w:t>
            </w:r>
          </w:p>
        </w:tc>
        <w:tc>
          <w:tcPr>
            <w:tcW w:w="0" w:type="dxa"/>
            <w:vAlign w:val="bottom"/>
          </w:tcPr>
          <w:p>
            <w:pPr>
              <w:spacing w:after="0"/>
              <w:rPr>
                <w:sz w:val="1"/>
                <w:szCs w:val="1"/>
                <w:color w:val="auto"/>
              </w:rPr>
            </w:pPr>
          </w:p>
        </w:tc>
      </w:tr>
      <w:tr>
        <w:trPr>
          <w:trHeight w:val="514"/>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Selling, general and administrative expense detail:</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Non-Cash equity compensation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449</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selling, general and administrative expense</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1,741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10,055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6,744</w:t>
            </w:r>
          </w:p>
        </w:tc>
        <w:tc>
          <w:tcPr>
            <w:tcW w:w="0" w:type="dxa"/>
            <w:vAlign w:val="bottom"/>
          </w:tcPr>
          <w:p>
            <w:pPr>
              <w:spacing w:after="0"/>
              <w:rPr>
                <w:sz w:val="1"/>
                <w:szCs w:val="1"/>
                <w:color w:val="auto"/>
              </w:rPr>
            </w:pPr>
          </w:p>
        </w:tc>
      </w:tr>
      <w:tr>
        <w:trPr>
          <w:trHeight w:val="265"/>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Selling, general and administrative expense</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2,213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10,401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7,219</w:t>
            </w:r>
          </w:p>
        </w:tc>
        <w:tc>
          <w:tcPr>
            <w:tcW w:w="0" w:type="dxa"/>
            <w:vAlign w:val="bottom"/>
          </w:tcPr>
          <w:p>
            <w:pPr>
              <w:spacing w:after="0"/>
              <w:rPr>
                <w:sz w:val="1"/>
                <w:szCs w:val="1"/>
                <w:color w:val="auto"/>
              </w:rPr>
            </w:pPr>
          </w:p>
        </w:tc>
      </w:tr>
      <w:tr>
        <w:trPr>
          <w:trHeight w:val="250"/>
        </w:trPr>
        <w:tc>
          <w:tcPr>
            <w:tcW w:w="528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Income from operations</w:t>
            </w:r>
          </w:p>
        </w:tc>
        <w:tc>
          <w:tcPr>
            <w:tcW w:w="24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5,132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income, net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1"/>
        </w:trPr>
        <w:tc>
          <w:tcPr>
            <w:tcW w:w="528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Income before provision for income taxes</w:t>
            </w:r>
          </w:p>
        </w:tc>
        <w:tc>
          <w:tcPr>
            <w:tcW w:w="2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4,462</w:t>
            </w:r>
          </w:p>
        </w:tc>
        <w:tc>
          <w:tcPr>
            <w:tcW w:w="0" w:type="dxa"/>
            <w:vAlign w:val="bottom"/>
          </w:tcPr>
          <w:p>
            <w:pPr>
              <w:spacing w:after="0"/>
              <w:rPr>
                <w:sz w:val="1"/>
                <w:szCs w:val="1"/>
                <w:color w:val="auto"/>
              </w:rPr>
            </w:pPr>
          </w:p>
        </w:tc>
      </w:tr>
      <w:tr>
        <w:trPr>
          <w:trHeight w:val="283"/>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227</w:t>
            </w:r>
          </w:p>
        </w:tc>
        <w:tc>
          <w:tcPr>
            <w:tcW w:w="0" w:type="dxa"/>
            <w:vAlign w:val="bottom"/>
          </w:tcPr>
          <w:p>
            <w:pPr>
              <w:spacing w:after="0"/>
              <w:rPr>
                <w:sz w:val="1"/>
                <w:szCs w:val="1"/>
                <w:color w:val="auto"/>
              </w:rPr>
            </w:pPr>
          </w:p>
        </w:tc>
      </w:tr>
      <w:tr>
        <w:trPr>
          <w:trHeight w:val="264"/>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income (loss)</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1,790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4,235</w:t>
            </w:r>
          </w:p>
        </w:tc>
        <w:tc>
          <w:tcPr>
            <w:tcW w:w="0" w:type="dxa"/>
            <w:vAlign w:val="bottom"/>
          </w:tcPr>
          <w:p>
            <w:pPr>
              <w:spacing w:after="0"/>
              <w:rPr>
                <w:sz w:val="1"/>
                <w:szCs w:val="1"/>
                <w:color w:val="auto"/>
              </w:rPr>
            </w:pPr>
          </w:p>
        </w:tc>
      </w:tr>
      <w:tr>
        <w:trPr>
          <w:trHeight w:val="21"/>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Non-GAAP Disclosure (see note regarding Non-GAAP</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disclosures):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18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Addback Interest, net</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328</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108</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931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670</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Addback Depreciation/Amortization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928</w:t>
            </w:r>
          </w:p>
        </w:tc>
        <w:tc>
          <w:tcPr>
            <w:tcW w:w="0" w:type="dxa"/>
            <w:vAlign w:val="bottom"/>
          </w:tcPr>
          <w:p>
            <w:pPr>
              <w:spacing w:after="0"/>
              <w:rPr>
                <w:sz w:val="1"/>
                <w:szCs w:val="1"/>
                <w:color w:val="auto"/>
              </w:rPr>
            </w:pPr>
          </w:p>
        </w:tc>
      </w:tr>
      <w:tr>
        <w:trPr>
          <w:trHeight w:val="282"/>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Addback Non-Cash Equity Compensation</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Subtract Non-Cash Other Income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534"/>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918</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4,193</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6,558</w:t>
            </w:r>
          </w:p>
        </w:tc>
      </w:tr>
      <w:tr>
        <w:trPr>
          <w:trHeight w:val="21"/>
        </w:trPr>
        <w:tc>
          <w:tcPr>
            <w:tcW w:w="5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00"/>
      </w:cols>
      <w:pgMar w:left="46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2026-03-31T07:14:36Z</dcterms:created>
  <dcterms:modified xsi:type="dcterms:W3CDTF">2026-03-31T07:14:36Z</dcterms:modified>
</cp:coreProperties>
</file>