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fnt10q_081426.htm"/>
      <w:bookmarkStart w:id="1" w:name="ksfnt10q_081426"/>
      <w:bookmarkEnd w:id="0"/>
      <w:bookmarkEnd w:id="1"/>
      <w:r>
        <w:rPr>
          <w:b/>
          <w:sz w:val="36"/>
        </w:rPr>
        <w:t>UNITED STATES</w:t>
      </w:r>
    </w:p>
    <w:p>
      <w:pPr>
        <w:pStyle w:val="TextBody"/>
        <w:bidi w:val="0"/>
        <w:spacing w:before="0" w:after="0"/>
        <w:ind w:left="0" w:right="0" w:hanging="0"/>
        <w:jc w:val="center"/>
        <w:rPr>
          <w:b/>
          <w:sz w:val="36"/>
        </w:rPr>
      </w:pPr>
      <w:r>
        <w:rPr>
          <w:b/>
          <w:sz w:val="36"/>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FORM 12b-25</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NOTIFICATION OF LATE FILING</w:t>
      </w:r>
    </w:p>
    <w:p>
      <w:pPr>
        <w:pStyle w:val="TextBody"/>
        <w:bidi w:val="0"/>
        <w:spacing w:before="0" w:after="0"/>
        <w:ind w:left="0" w:right="0" w:hanging="0"/>
        <w:jc w:val="center"/>
        <w:rPr/>
      </w:pPr>
      <w:r>
        <w:rPr/>
        <w:t> </w:t>
      </w:r>
    </w:p>
    <w:p>
      <w:pPr>
        <w:pStyle w:val="TextBody"/>
        <w:bidi w:val="0"/>
        <w:spacing w:before="0" w:after="0"/>
        <w:ind w:left="0" w:right="0" w:hanging="0"/>
        <w:jc w:val="right"/>
        <w:rPr>
          <w:sz w:val="20"/>
        </w:rPr>
      </w:pPr>
      <w:r>
        <w:rPr>
          <w:sz w:val="20"/>
        </w:rPr>
        <w:t>SEC File Number: 001-42589</w:t>
      </w:r>
    </w:p>
    <w:p>
      <w:pPr>
        <w:pStyle w:val="TextBody"/>
        <w:bidi w:val="0"/>
        <w:spacing w:before="0" w:after="0"/>
        <w:ind w:left="0" w:right="0" w:hanging="0"/>
        <w:jc w:val="right"/>
        <w:rPr>
          <w:sz w:val="20"/>
        </w:rPr>
      </w:pPr>
      <w:r>
        <w:rPr>
          <w:sz w:val="20"/>
        </w:rPr>
        <w:t>CUSIP Number: 630079101</w:t>
      </w:r>
    </w:p>
    <w:p>
      <w:pPr>
        <w:pStyle w:val="TextBody"/>
        <w:bidi w:val="0"/>
        <w:spacing w:before="0" w:after="0"/>
        <w:ind w:left="0" w:right="0" w:hanging="0"/>
        <w:jc w:val="left"/>
        <w:rPr/>
      </w:pPr>
      <w:r>
        <w:rPr/>
        <w:t> </w:t>
      </w:r>
    </w:p>
    <w:tbl>
      <w:tblPr>
        <w:tblW w:w="5725" w:type="dxa"/>
        <w:jc w:val="left"/>
        <w:tblInd w:w="0" w:type="dxa"/>
        <w:tblLayout w:type="fixed"/>
        <w:tblCellMar>
          <w:top w:w="0" w:type="dxa"/>
          <w:left w:w="0" w:type="dxa"/>
          <w:bottom w:w="0" w:type="dxa"/>
          <w:right w:w="0" w:type="dxa"/>
        </w:tblCellMar>
      </w:tblPr>
      <w:tblGrid>
        <w:gridCol w:w="1100"/>
        <w:gridCol w:w="60"/>
        <w:gridCol w:w="4565"/>
      </w:tblGrid>
      <w:tr>
        <w:trPr/>
        <w:tc>
          <w:tcPr>
            <w:tcW w:w="1100" w:type="dxa"/>
            <w:tcBorders/>
            <w:vAlign w:val="center"/>
          </w:tcPr>
          <w:p>
            <w:pPr>
              <w:pStyle w:val="TableContents"/>
              <w:bidi w:val="0"/>
              <w:spacing w:before="0" w:after="283"/>
              <w:jc w:val="right"/>
              <w:rPr>
                <w:sz w:val="20"/>
              </w:rPr>
            </w:pPr>
            <w:r>
              <w:rPr>
                <w:sz w:val="20"/>
              </w:rPr>
              <w:t xml:space="preserve">(Check One)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ind w:left="0" w:right="0" w:hanging="0"/>
              <w:jc w:val="left"/>
              <w:rPr/>
            </w:pPr>
            <w:r>
              <w:rPr/>
              <w:t xml:space="preserve">☐ </w:t>
            </w:r>
            <w:r>
              <w:rPr>
                <w:sz w:val="20"/>
              </w:rPr>
              <w:t>Form 10-K ☐ Form 20-F ☐ Form 11-K ☒ Form 10-Q</w:t>
            </w:r>
          </w:p>
          <w:p>
            <w:pPr>
              <w:pStyle w:val="TableContents"/>
              <w:bidi w:val="0"/>
              <w:spacing w:before="0" w:after="0"/>
              <w:ind w:left="0" w:right="0" w:hanging="0"/>
              <w:jc w:val="left"/>
              <w:rPr/>
            </w:pPr>
            <w:r>
              <w:rPr/>
              <w:t xml:space="preserve">☐ </w:t>
            </w:r>
            <w:r>
              <w:rPr>
                <w:sz w:val="20"/>
              </w:rPr>
              <w:t>Form 10-D ☐ Form N-CEN ☐ Form N-CSR</w:t>
            </w:r>
          </w:p>
        </w:tc>
      </w:tr>
      <w:tr>
        <w:trPr/>
        <w:tc>
          <w:tcPr>
            <w:tcW w:w="1100" w:type="dxa"/>
            <w:tcBorders/>
            <w:vAlign w:val="center"/>
          </w:tcPr>
          <w:p>
            <w:pPr>
              <w:pStyle w:val="TableContents"/>
              <w:bidi w:val="0"/>
              <w:spacing w:before="0" w:after="283"/>
              <w:jc w:val="left"/>
              <w:rPr/>
            </w:pPr>
            <w:r>
              <w:rPr/>
              <w:t> </w:t>
            </w:r>
          </w:p>
        </w:tc>
        <w:tc>
          <w:tcPr>
            <w:tcW w:w="4625" w:type="dxa"/>
            <w:gridSpan w:val="2"/>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sz w:val="20"/>
              </w:rPr>
            </w:pPr>
            <w:r>
              <w:rPr>
                <w:sz w:val="20"/>
              </w:rPr>
              <w:t>For Period Ended: June 30, 2026</w:t>
            </w:r>
          </w:p>
        </w:tc>
      </w:tr>
      <w:tr>
        <w:trPr/>
        <w:tc>
          <w:tcPr>
            <w:tcW w:w="1100" w:type="dxa"/>
            <w:tcBorders/>
            <w:vAlign w:val="center"/>
          </w:tcPr>
          <w:p>
            <w:pPr>
              <w:pStyle w:val="TableContents"/>
              <w:bidi w:val="0"/>
              <w:spacing w:before="0" w:after="283"/>
              <w:jc w:val="left"/>
              <w:rPr/>
            </w:pPr>
            <w:r>
              <w:rPr/>
              <w:t> </w:t>
            </w:r>
          </w:p>
        </w:tc>
        <w:tc>
          <w:tcPr>
            <w:tcW w:w="4625" w:type="dxa"/>
            <w:gridSpan w:val="2"/>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xml:space="preserve">☐ </w:t>
            </w:r>
            <w:r>
              <w:rPr>
                <w:sz w:val="20"/>
              </w:rPr>
              <w:t>Transition Report on Form 10-K</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xml:space="preserve">☐ </w:t>
            </w:r>
            <w:r>
              <w:rPr>
                <w:sz w:val="20"/>
              </w:rPr>
              <w:t>Transition Report on Form 20-F</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xml:space="preserve">☐ </w:t>
            </w:r>
            <w:r>
              <w:rPr>
                <w:sz w:val="20"/>
              </w:rPr>
              <w:t>Transition Report on Form 11-K</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xml:space="preserve">☐ </w:t>
            </w:r>
            <w:r>
              <w:rPr>
                <w:sz w:val="20"/>
              </w:rPr>
              <w:t>Transition Report on Form 10-Q</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xml:space="preserve">☐ </w:t>
            </w:r>
            <w:r>
              <w:rPr>
                <w:sz w:val="20"/>
              </w:rPr>
              <w:t>Transition Report on Form N-SAR</w:t>
            </w:r>
          </w:p>
        </w:tc>
      </w:tr>
      <w:tr>
        <w:trPr/>
        <w:tc>
          <w:tcPr>
            <w:tcW w:w="1100" w:type="dxa"/>
            <w:tcBorders/>
            <w:vAlign w:val="center"/>
          </w:tcPr>
          <w:p>
            <w:pPr>
              <w:pStyle w:val="TableContents"/>
              <w:bidi w:val="0"/>
              <w:spacing w:before="0" w:after="283"/>
              <w:jc w:val="left"/>
              <w:rPr/>
            </w:pPr>
            <w:r>
              <w:rPr/>
              <w:t> </w:t>
            </w:r>
          </w:p>
        </w:tc>
        <w:tc>
          <w:tcPr>
            <w:tcW w:w="4625" w:type="dxa"/>
            <w:gridSpan w:val="2"/>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sz w:val="20"/>
              </w:rPr>
            </w:pPr>
            <w:r>
              <w:rPr>
                <w:sz w:val="20"/>
              </w:rPr>
              <w:t>For the Transition Period Ended: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785" w:type="dxa"/>
        <w:jc w:val="left"/>
        <w:tblInd w:w="-10" w:type="dxa"/>
        <w:tblLayout w:type="fixed"/>
        <w:tblCellMar>
          <w:top w:w="28" w:type="dxa"/>
          <w:left w:w="28" w:type="dxa"/>
          <w:bottom w:w="28" w:type="dxa"/>
          <w:right w:w="2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Nothing in this form shall be construed to imply that the Commission has verified any information contained herein.</w:t>
            </w:r>
          </w:p>
        </w:tc>
      </w:tr>
    </w:tbl>
    <w:p>
      <w:pPr>
        <w:pStyle w:val="TextBody"/>
        <w:bidi w:val="0"/>
        <w:spacing w:before="0" w:after="0"/>
        <w:ind w:left="0" w:right="0" w:firstLine="556"/>
        <w:jc w:val="left"/>
        <w:rPr/>
      </w:pPr>
      <w:r>
        <w:rPr/>
        <w:t> </w:t>
      </w:r>
    </w:p>
    <w:p>
      <w:pPr>
        <w:pStyle w:val="TextBody"/>
        <w:bidi w:val="0"/>
        <w:spacing w:before="0" w:after="0"/>
        <w:ind w:left="0" w:right="0" w:firstLine="556"/>
        <w:jc w:val="left"/>
        <w:rPr>
          <w:sz w:val="20"/>
        </w:rPr>
      </w:pPr>
      <w:r>
        <w:rPr>
          <w:sz w:val="20"/>
        </w:rPr>
        <w:t>If the notification relates to a portion of the filing checked above, identify the Item(s) to which the notification relates:</w:t>
      </w:r>
    </w:p>
    <w:p>
      <w:pPr>
        <w:pStyle w:val="TextBody"/>
        <w:bidi w:val="0"/>
        <w:spacing w:before="0" w:after="0"/>
        <w:ind w:left="0" w:right="0" w:firstLine="556"/>
        <w:jc w:val="left"/>
        <w:rPr/>
      </w:pPr>
      <w:r>
        <w:rPr/>
        <w:t> </w:t>
      </w:r>
    </w:p>
    <w:p>
      <w:pPr>
        <w:pStyle w:val="TextBody"/>
        <w:bidi w:val="0"/>
        <w:spacing w:before="0" w:after="0"/>
        <w:ind w:left="0" w:right="0" w:hanging="0"/>
        <w:jc w:val="center"/>
        <w:rPr>
          <w:b/>
          <w:sz w:val="20"/>
        </w:rPr>
      </w:pPr>
      <w:r>
        <w:rPr>
          <w:b/>
          <w:sz w:val="20"/>
        </w:rPr>
        <w:t>PART I - REGISTRANT INFORMATION</w:t>
      </w:r>
    </w:p>
    <w:p>
      <w:pPr>
        <w:pStyle w:val="TextBody"/>
        <w:bidi w:val="0"/>
        <w:spacing w:before="0" w:after="0"/>
        <w:ind w:left="0" w:right="0" w:hanging="0"/>
        <w:jc w:val="center"/>
        <w:rPr/>
      </w:pPr>
      <w:r>
        <w:rPr/>
        <w:t> </w:t>
      </w:r>
    </w:p>
    <w:p>
      <w:pPr>
        <w:pStyle w:val="TextBody"/>
        <w:bidi w:val="0"/>
        <w:spacing w:before="0" w:after="0"/>
        <w:ind w:left="0" w:right="0" w:hanging="0"/>
        <w:jc w:val="center"/>
        <w:rPr>
          <w:b/>
          <w:sz w:val="48"/>
        </w:rPr>
      </w:pPr>
      <w:r>
        <w:rPr>
          <w:b/>
          <w:sz w:val="48"/>
        </w:rPr>
        <w:t>Solésence, Inc.</w:t>
      </w:r>
    </w:p>
    <w:p>
      <w:pPr>
        <w:pStyle w:val="TextBody"/>
        <w:bidi w:val="0"/>
        <w:spacing w:before="0" w:after="0"/>
        <w:ind w:left="0" w:right="0" w:hanging="0"/>
        <w:jc w:val="center"/>
        <w:rPr>
          <w:sz w:val="20"/>
        </w:rPr>
      </w:pPr>
      <w:r>
        <w:rPr>
          <w:sz w:val="20"/>
        </w:rPr>
        <w:t>(Full Name of Registrant)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Nanophase Technologies Corporation</w:t>
      </w:r>
    </w:p>
    <w:p>
      <w:pPr>
        <w:pStyle w:val="TextBody"/>
        <w:bidi w:val="0"/>
        <w:spacing w:before="0" w:after="0"/>
        <w:ind w:left="0" w:right="0" w:hanging="0"/>
        <w:jc w:val="center"/>
        <w:rPr>
          <w:sz w:val="20"/>
        </w:rPr>
      </w:pPr>
      <w:r>
        <w:rPr>
          <w:sz w:val="20"/>
        </w:rPr>
        <w:t>(Former Name if Applicable)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1319 Marquette Drive</w:t>
      </w:r>
    </w:p>
    <w:p>
      <w:pPr>
        <w:pStyle w:val="TextBody"/>
        <w:bidi w:val="0"/>
        <w:spacing w:before="0" w:after="0"/>
        <w:ind w:left="0" w:right="0" w:hanging="0"/>
        <w:jc w:val="center"/>
        <w:rPr>
          <w:sz w:val="20"/>
        </w:rPr>
      </w:pPr>
      <w:r>
        <w:rPr>
          <w:sz w:val="20"/>
        </w:rPr>
        <w:t>(Address of Principal Executive Office (</w:t>
      </w:r>
      <w:r>
        <w:rPr>
          <w:i/>
          <w:sz w:val="20"/>
        </w:rPr>
        <w:t>Street and Number</w:t>
      </w:r>
      <w:r>
        <w:rPr>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Romeoville, Illinois 60446</w:t>
      </w:r>
      <w:r>
        <w:rPr>
          <w:sz w:val="20"/>
        </w:rPr>
        <w:t> </w:t>
      </w:r>
    </w:p>
    <w:p>
      <w:pPr>
        <w:pStyle w:val="TextBody"/>
        <w:bidi w:val="0"/>
        <w:spacing w:before="0" w:after="0"/>
        <w:ind w:left="0" w:right="0" w:hanging="0"/>
        <w:jc w:val="center"/>
        <w:rPr>
          <w:sz w:val="20"/>
        </w:rPr>
      </w:pPr>
      <w:r>
        <w:rPr>
          <w:sz w:val="20"/>
        </w:rPr>
        <w:t>(City, State and Zip Code)</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PART II - RULES 12b-25(b) AND (c)</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28" w:type="dxa"/>
        </w:tblCellMar>
      </w:tblPr>
      <w:tblGrid>
        <w:gridCol w:w="305"/>
        <w:gridCol w:w="60"/>
        <w:gridCol w:w="199"/>
        <w:gridCol w:w="60"/>
        <w:gridCol w:w="9581"/>
      </w:tblGrid>
      <w:tr>
        <w:trPr/>
        <w:tc>
          <w:tcPr>
            <w:tcW w:w="305" w:type="dxa"/>
            <w:vMerge w:val="restart"/>
            <w:tcBorders>
              <w:right w:val="single" w:sz="8" w:space="0" w:color="000000"/>
            </w:tcBorders>
            <w:vAlign w:val="center"/>
          </w:tcPr>
          <w:p>
            <w:pPr>
              <w:pStyle w:val="TableContents"/>
              <w:bidi w:val="0"/>
              <w:spacing w:before="0" w:after="283"/>
              <w:jc w:val="both"/>
              <w:rPr/>
            </w:pPr>
            <w:r>
              <w:rPr/>
              <w:t>☒ </w:t>
            </w:r>
          </w:p>
        </w:tc>
        <w:tc>
          <w:tcPr>
            <w:tcW w:w="60" w:type="dxa"/>
            <w:tcBorders/>
            <w:tcMar>
              <w:right w:w="0" w:type="dxa"/>
            </w:tcMar>
            <w:vAlign w:val="center"/>
          </w:tcPr>
          <w:p>
            <w:pPr>
              <w:pStyle w:val="TableContents"/>
              <w:bidi w:val="0"/>
              <w:spacing w:before="0" w:after="283"/>
              <w:jc w:val="both"/>
              <w:rPr/>
            </w:pPr>
            <w:r>
              <w:rPr/>
              <w:t> </w:t>
            </w:r>
          </w:p>
        </w:tc>
        <w:tc>
          <w:tcPr>
            <w:tcW w:w="199" w:type="dxa"/>
            <w:tcBorders/>
            <w:tcMar>
              <w:right w:w="0" w:type="dxa"/>
            </w:tcMar>
            <w:vAlign w:val="center"/>
          </w:tcPr>
          <w:p>
            <w:pPr>
              <w:pStyle w:val="TableContents"/>
              <w:bidi w:val="0"/>
              <w:spacing w:before="0" w:after="283"/>
              <w:jc w:val="both"/>
              <w:rPr>
                <w:sz w:val="20"/>
              </w:rPr>
            </w:pPr>
            <w:r>
              <w:rPr>
                <w:sz w:val="20"/>
              </w:rPr>
              <w:t>(a)</w:t>
            </w:r>
          </w:p>
        </w:tc>
        <w:tc>
          <w:tcPr>
            <w:tcW w:w="60" w:type="dxa"/>
            <w:tcBorders/>
            <w:tcMar>
              <w:right w:w="0" w:type="dxa"/>
            </w:tcMar>
            <w:vAlign w:val="center"/>
          </w:tcPr>
          <w:p>
            <w:pPr>
              <w:pStyle w:val="TableContents"/>
              <w:bidi w:val="0"/>
              <w:spacing w:before="0" w:after="283"/>
              <w:jc w:val="both"/>
              <w:rPr/>
            </w:pPr>
            <w:r>
              <w:rPr/>
              <w:t> </w:t>
            </w:r>
          </w:p>
        </w:tc>
        <w:tc>
          <w:tcPr>
            <w:tcW w:w="9581" w:type="dxa"/>
            <w:tcBorders/>
            <w:tcMar>
              <w:right w:w="0" w:type="dxa"/>
            </w:tcMar>
            <w:vAlign w:val="center"/>
          </w:tcPr>
          <w:p>
            <w:pPr>
              <w:pStyle w:val="TableContents"/>
              <w:bidi w:val="0"/>
              <w:spacing w:before="0" w:after="0"/>
              <w:ind w:left="0" w:right="0" w:hanging="0"/>
              <w:jc w:val="both"/>
              <w:rPr>
                <w:sz w:val="20"/>
              </w:rPr>
            </w:pPr>
            <w:r>
              <w:rPr>
                <w:sz w:val="20"/>
              </w:rPr>
              <w:t>The reason described in reasonable detail in Part III of this form could not be eliminated without unreasonable effort or expense;</w:t>
            </w:r>
          </w:p>
          <w:p>
            <w:pPr>
              <w:pStyle w:val="TableContents"/>
              <w:bidi w:val="0"/>
              <w:spacing w:before="0" w:after="0"/>
              <w:ind w:left="0" w:right="0" w:hanging="0"/>
              <w:jc w:val="both"/>
              <w:rPr/>
            </w:pPr>
            <w:r>
              <w:rPr/>
              <w:t> </w:t>
            </w:r>
          </w:p>
        </w:tc>
      </w:tr>
      <w:tr>
        <w:trPr/>
        <w:tc>
          <w:tcPr>
            <w:tcW w:w="30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both"/>
              <w:rPr/>
            </w:pPr>
            <w:r>
              <w:rPr/>
              <w:t> </w:t>
            </w:r>
          </w:p>
        </w:tc>
        <w:tc>
          <w:tcPr>
            <w:tcW w:w="199" w:type="dxa"/>
            <w:tcBorders/>
            <w:tcMar>
              <w:right w:w="0" w:type="dxa"/>
            </w:tcMar>
            <w:vAlign w:val="center"/>
          </w:tcPr>
          <w:p>
            <w:pPr>
              <w:pStyle w:val="TableContents"/>
              <w:bidi w:val="0"/>
              <w:spacing w:before="0" w:after="283"/>
              <w:jc w:val="both"/>
              <w:rPr>
                <w:sz w:val="20"/>
              </w:rPr>
            </w:pPr>
            <w:r>
              <w:rPr>
                <w:sz w:val="20"/>
              </w:rPr>
              <w:t>(b)</w:t>
            </w:r>
          </w:p>
        </w:tc>
        <w:tc>
          <w:tcPr>
            <w:tcW w:w="60" w:type="dxa"/>
            <w:tcBorders/>
            <w:tcMar>
              <w:right w:w="0" w:type="dxa"/>
            </w:tcMar>
            <w:vAlign w:val="center"/>
          </w:tcPr>
          <w:p>
            <w:pPr>
              <w:pStyle w:val="TableContents"/>
              <w:bidi w:val="0"/>
              <w:spacing w:before="0" w:after="283"/>
              <w:jc w:val="both"/>
              <w:rPr/>
            </w:pPr>
            <w:r>
              <w:rPr/>
              <w:t> </w:t>
            </w:r>
          </w:p>
        </w:tc>
        <w:tc>
          <w:tcPr>
            <w:tcW w:w="9581" w:type="dxa"/>
            <w:tcBorders/>
            <w:tcMar>
              <w:right w:w="0" w:type="dxa"/>
            </w:tcMar>
            <w:vAlign w:val="center"/>
          </w:tcPr>
          <w:p>
            <w:pPr>
              <w:pStyle w:val="TableContents"/>
              <w:bidi w:val="0"/>
              <w:spacing w:before="0" w:after="0"/>
              <w:ind w:left="0" w:right="0" w:hanging="0"/>
              <w:jc w:val="both"/>
              <w:rPr>
                <w:sz w:val="20"/>
              </w:rPr>
            </w:pPr>
            <w:r>
              <w:rPr>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ableContents"/>
              <w:bidi w:val="0"/>
              <w:spacing w:before="0" w:after="0"/>
              <w:ind w:left="0" w:right="0" w:hanging="0"/>
              <w:jc w:val="both"/>
              <w:rPr/>
            </w:pPr>
            <w:r>
              <w:rPr/>
              <w:t> </w:t>
            </w:r>
          </w:p>
        </w:tc>
      </w:tr>
      <w:tr>
        <w:trPr/>
        <w:tc>
          <w:tcPr>
            <w:tcW w:w="30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both"/>
              <w:rPr/>
            </w:pPr>
            <w:r>
              <w:rPr/>
              <w:t> </w:t>
            </w:r>
          </w:p>
        </w:tc>
        <w:tc>
          <w:tcPr>
            <w:tcW w:w="199" w:type="dxa"/>
            <w:tcBorders/>
            <w:tcMar>
              <w:right w:w="0" w:type="dxa"/>
            </w:tcMar>
            <w:vAlign w:val="center"/>
          </w:tcPr>
          <w:p>
            <w:pPr>
              <w:pStyle w:val="TableContents"/>
              <w:bidi w:val="0"/>
              <w:spacing w:before="0" w:after="283"/>
              <w:jc w:val="both"/>
              <w:rPr>
                <w:sz w:val="20"/>
              </w:rPr>
            </w:pPr>
            <w:r>
              <w:rPr>
                <w:sz w:val="20"/>
              </w:rPr>
              <w:t>(c)</w:t>
            </w:r>
          </w:p>
        </w:tc>
        <w:tc>
          <w:tcPr>
            <w:tcW w:w="60" w:type="dxa"/>
            <w:tcBorders/>
            <w:tcMar>
              <w:right w:w="0" w:type="dxa"/>
            </w:tcMar>
            <w:vAlign w:val="center"/>
          </w:tcPr>
          <w:p>
            <w:pPr>
              <w:pStyle w:val="TableContents"/>
              <w:bidi w:val="0"/>
              <w:spacing w:before="0" w:after="283"/>
              <w:jc w:val="both"/>
              <w:rPr/>
            </w:pPr>
            <w:r>
              <w:rPr/>
              <w:t> </w:t>
            </w:r>
          </w:p>
        </w:tc>
        <w:tc>
          <w:tcPr>
            <w:tcW w:w="9581" w:type="dxa"/>
            <w:tcBorders/>
            <w:tcMar>
              <w:right w:w="0" w:type="dxa"/>
            </w:tcMar>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PART III - NARRATIVE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State below in reasonable detail why Forms 10-K, 20-F, 11-K, 10-Q, 10-D, N-SAR, N-CSR, or the transition report or portion thereof, could not be filed within the prescribed time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registrant recently discovered that it had applied an improper inventory costing methodology, and the registrant is in the process of determining appropriate corrective measures.</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Cautionary Notice Regarding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This Form 12b-25 includes information that constitutes forward-looking statements within the meaning of the Private Securities Litigation Reform Act of 1995. These forward-looking statements are based on the Company’s current beliefs, assumptions and expectations regarding future events, which in turn are based on information currently available to the Company. Such forward-looking statements include statements regarding the anticipated timing of filing the Form 10-Q.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the risk that additional or different information may become known prior to the expected filing of the periodic report described herein. Other risks affecting the Company are discussed in the Company’s filings with the Securities and Exchange Commission. The Company undertakes no obligation to publicly update or revise any forward-looking statement, whether as a result of new information, future events or otherwise, except to the extent required by applicable laws.</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PART IV - OTHER INFORMATION</w:t>
      </w:r>
    </w:p>
    <w:p>
      <w:pPr>
        <w:pStyle w:val="TextBody"/>
        <w:bidi w:val="0"/>
        <w:spacing w:before="0" w:after="0"/>
        <w:ind w:left="0" w:right="0" w:hanging="0"/>
        <w:jc w:val="center"/>
        <w:rPr/>
      </w:pPr>
      <w:r>
        <w:rPr/>
        <w:t> </w:t>
      </w:r>
    </w:p>
    <w:tbl>
      <w:tblPr>
        <w:tblW w:w="6640" w:type="dxa"/>
        <w:jc w:val="left"/>
        <w:tblInd w:w="0" w:type="dxa"/>
        <w:tblLayout w:type="fixed"/>
        <w:tblCellMar>
          <w:top w:w="0" w:type="dxa"/>
          <w:left w:w="0" w:type="dxa"/>
          <w:bottom w:w="0" w:type="dxa"/>
          <w:right w:w="0" w:type="dxa"/>
        </w:tblCellMar>
      </w:tblPr>
      <w:tblGrid>
        <w:gridCol w:w="305"/>
        <w:gridCol w:w="6335"/>
      </w:tblGrid>
      <w:tr>
        <w:trPr/>
        <w:tc>
          <w:tcPr>
            <w:tcW w:w="305" w:type="dxa"/>
            <w:tcBorders/>
            <w:vAlign w:val="center"/>
          </w:tcPr>
          <w:p>
            <w:pPr>
              <w:pStyle w:val="TableContents"/>
              <w:bidi w:val="0"/>
              <w:spacing w:before="0" w:after="283"/>
              <w:jc w:val="left"/>
              <w:rPr>
                <w:sz w:val="20"/>
              </w:rPr>
            </w:pPr>
            <w:r>
              <w:rPr>
                <w:sz w:val="20"/>
              </w:rPr>
              <w:t xml:space="preserve">(1) </w:t>
            </w:r>
          </w:p>
        </w:tc>
        <w:tc>
          <w:tcPr>
            <w:tcW w:w="6335" w:type="dxa"/>
            <w:tcBorders/>
            <w:vAlign w:val="center"/>
          </w:tcPr>
          <w:p>
            <w:pPr>
              <w:pStyle w:val="TableContents"/>
              <w:bidi w:val="0"/>
              <w:spacing w:before="0" w:after="283"/>
              <w:jc w:val="left"/>
              <w:rPr>
                <w:sz w:val="20"/>
              </w:rPr>
            </w:pPr>
            <w:r>
              <w:rPr>
                <w:sz w:val="20"/>
              </w:rPr>
              <w:t>Name and telephone number of person to contact in regard to this notification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50" w:type="dxa"/>
        <w:jc w:val="left"/>
        <w:tblInd w:w="0" w:type="dxa"/>
        <w:tblLayout w:type="fixed"/>
        <w:tblCellMar>
          <w:top w:w="0" w:type="dxa"/>
          <w:left w:w="0" w:type="dxa"/>
          <w:bottom w:w="28" w:type="dxa"/>
          <w:right w:w="0" w:type="dxa"/>
        </w:tblCellMar>
      </w:tblPr>
      <w:tblGrid>
        <w:gridCol w:w="1220"/>
        <w:gridCol w:w="60"/>
        <w:gridCol w:w="995"/>
        <w:gridCol w:w="60"/>
        <w:gridCol w:w="1715"/>
      </w:tblGrid>
      <w:tr>
        <w:trPr/>
        <w:tc>
          <w:tcPr>
            <w:tcW w:w="1220" w:type="dxa"/>
            <w:tcBorders>
              <w:bottom w:val="single" w:sz="8" w:space="0" w:color="000000"/>
            </w:tcBorders>
            <w:vAlign w:val="center"/>
          </w:tcPr>
          <w:p>
            <w:pPr>
              <w:pStyle w:val="TableContents"/>
              <w:bidi w:val="0"/>
              <w:spacing w:before="0" w:after="283"/>
              <w:jc w:val="center"/>
              <w:rPr>
                <w:b/>
                <w:sz w:val="20"/>
              </w:rPr>
            </w:pPr>
            <w:r>
              <w:rPr>
                <w:b/>
                <w:sz w:val="20"/>
              </w:rPr>
              <w:t>Laura Riffner</w:t>
            </w:r>
          </w:p>
        </w:tc>
        <w:tc>
          <w:tcPr>
            <w:tcW w:w="60" w:type="dxa"/>
            <w:tcBorders>
              <w:bottom w:val="single" w:sz="8" w:space="0" w:color="FFFFFF"/>
            </w:tcBorders>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sz w:val="20"/>
              </w:rPr>
            </w:pPr>
            <w:r>
              <w:rPr>
                <w:sz w:val="20"/>
              </w:rPr>
              <w:t>630</w:t>
            </w:r>
          </w:p>
        </w:tc>
        <w:tc>
          <w:tcPr>
            <w:tcW w:w="60" w:type="dxa"/>
            <w:tcBorders>
              <w:bottom w:val="single" w:sz="8" w:space="0" w:color="FFFFFF"/>
            </w:tcBorders>
            <w:vAlign w:val="center"/>
          </w:tcPr>
          <w:p>
            <w:pPr>
              <w:pStyle w:val="TableContents"/>
              <w:bidi w:val="0"/>
              <w:spacing w:before="0" w:after="283"/>
              <w:jc w:val="left"/>
              <w:rPr/>
            </w:pPr>
            <w:r>
              <w:rPr/>
              <w:t> </w:t>
            </w:r>
          </w:p>
        </w:tc>
        <w:tc>
          <w:tcPr>
            <w:tcW w:w="1715" w:type="dxa"/>
            <w:tcBorders>
              <w:bottom w:val="single" w:sz="8" w:space="0" w:color="000000"/>
            </w:tcBorders>
            <w:vAlign w:val="center"/>
          </w:tcPr>
          <w:p>
            <w:pPr>
              <w:pStyle w:val="TableContents"/>
              <w:bidi w:val="0"/>
              <w:spacing w:before="0" w:after="283"/>
              <w:jc w:val="center"/>
              <w:rPr>
                <w:sz w:val="20"/>
              </w:rPr>
            </w:pPr>
            <w:r>
              <w:rPr>
                <w:sz w:val="20"/>
              </w:rPr>
              <w:t>771-6700</w:t>
            </w:r>
          </w:p>
        </w:tc>
      </w:tr>
      <w:tr>
        <w:trPr/>
        <w:tc>
          <w:tcPr>
            <w:tcW w:w="1220" w:type="dxa"/>
            <w:tcBorders/>
            <w:tcMar>
              <w:bottom w:w="0" w:type="dxa"/>
            </w:tcMar>
            <w:vAlign w:val="center"/>
          </w:tcPr>
          <w:p>
            <w:pPr>
              <w:pStyle w:val="TableContents"/>
              <w:bidi w:val="0"/>
              <w:spacing w:before="0" w:after="283"/>
              <w:jc w:val="center"/>
              <w:rPr>
                <w:sz w:val="20"/>
              </w:rPr>
            </w:pPr>
            <w:r>
              <w:rPr>
                <w:sz w:val="20"/>
              </w:rPr>
              <w:t>(Name)</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6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 xml:space="preserve">(2) </w:t>
            </w:r>
          </w:p>
        </w:tc>
        <w:tc>
          <w:tcPr>
            <w:tcW w:w="9969" w:type="dxa"/>
            <w:tcBorders/>
            <w:vAlign w:val="center"/>
          </w:tcPr>
          <w:p>
            <w:pPr>
              <w:pStyle w:val="TableContents"/>
              <w:bidi w:val="0"/>
              <w:spacing w:before="0" w:after="283"/>
              <w:jc w:val="left"/>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sz w:val="20"/>
              </w:rPr>
            </w:pPr>
            <w:r>
              <w:rPr>
                <w:sz w:val="20"/>
              </w:rPr>
              <w:t xml:space="preserve">(3) </w:t>
            </w:r>
          </w:p>
        </w:tc>
        <w:tc>
          <w:tcPr>
            <w:tcW w:w="9953" w:type="dxa"/>
            <w:tcBorders/>
            <w:vAlign w:val="center"/>
          </w:tcPr>
          <w:p>
            <w:pPr>
              <w:pStyle w:val="TableContents"/>
              <w:bidi w:val="0"/>
              <w:spacing w:before="0" w:after="283"/>
              <w:jc w:val="left"/>
              <w:rPr>
                <w:sz w:val="20"/>
              </w:rPr>
            </w:pPr>
            <w:r>
              <w:rPr>
                <w:sz w:val="20"/>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283"/>
        <w:jc w:val="left"/>
        <w:rPr/>
      </w:pPr>
      <w:r>
        <w:rPr/>
        <w:t> </w:t>
      </w:r>
    </w:p>
    <w:p>
      <w:pPr>
        <w:pStyle w:val="TextBody"/>
        <w:shd w:fill="FFFFFF" w:val="clear"/>
        <w:bidi w:val="0"/>
        <w:spacing w:before="0" w:after="0"/>
        <w:ind w:left="0" w:right="0" w:hanging="0"/>
        <w:jc w:val="both"/>
        <w:rPr>
          <w:sz w:val="20"/>
        </w:rPr>
      </w:pPr>
      <w:r>
        <w:rPr>
          <w:sz w:val="20"/>
        </w:rPr>
        <w:t>If so, attach an explanation of the anticipated change, both narratively and quantitatively, and, if appropriate, state the reasons why a reasonable estimate of the results cannot be made.</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The registrant is in the process of determining the amount of the anticipated change.</w:t>
      </w:r>
    </w:p>
    <w:p>
      <w:pPr>
        <w:pStyle w:val="TextBody"/>
        <w:shd w:fill="FFFFFF" w:val="clear"/>
        <w:bidi w:val="0"/>
        <w:spacing w:before="0" w:after="0"/>
        <w:ind w:left="0" w:right="0" w:hanging="0"/>
        <w:jc w:val="both"/>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Solésence, Inc.</w:t>
      </w:r>
    </w:p>
    <w:p>
      <w:pPr>
        <w:pStyle w:val="TextBody"/>
        <w:bidi w:val="0"/>
        <w:spacing w:before="0" w:after="0"/>
        <w:ind w:left="0" w:right="0" w:hanging="0"/>
        <w:jc w:val="center"/>
        <w:rPr>
          <w:sz w:val="20"/>
        </w:rPr>
      </w:pPr>
      <w:r>
        <w:rPr>
          <w:sz w:val="20"/>
        </w:rPr>
        <w:t>(Name of Registrant as Specified in Charter)</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has caused this notification to be signed on its behalf by the undersigned hereunto duly authorized.</w:t>
      </w:r>
    </w:p>
    <w:p>
      <w:pPr>
        <w:pStyle w:val="TextBody"/>
        <w:bidi w:val="0"/>
        <w:spacing w:before="0" w:after="0"/>
        <w:ind w:left="0" w:right="0" w:hanging="0"/>
        <w:jc w:val="left"/>
        <w:rPr/>
      </w:pPr>
      <w:r>
        <w:rPr/>
        <w:t> </w:t>
      </w:r>
    </w:p>
    <w:tbl>
      <w:tblPr>
        <w:tblW w:w="5925" w:type="dxa"/>
        <w:jc w:val="left"/>
        <w:tblInd w:w="0" w:type="dxa"/>
        <w:tblLayout w:type="fixed"/>
        <w:tblCellMar>
          <w:top w:w="0" w:type="dxa"/>
          <w:left w:w="0" w:type="dxa"/>
          <w:bottom w:w="0" w:type="dxa"/>
          <w:right w:w="0" w:type="dxa"/>
        </w:tblCellMar>
      </w:tblPr>
      <w:tblGrid>
        <w:gridCol w:w="1970"/>
        <w:gridCol w:w="320"/>
        <w:gridCol w:w="3635"/>
      </w:tblGrid>
      <w:tr>
        <w:trPr/>
        <w:tc>
          <w:tcPr>
            <w:tcW w:w="1970" w:type="dxa"/>
            <w:tcBorders/>
            <w:vAlign w:val="center"/>
          </w:tcPr>
          <w:p>
            <w:pPr>
              <w:pStyle w:val="TableContents"/>
              <w:bidi w:val="0"/>
              <w:spacing w:before="0" w:after="283"/>
              <w:jc w:val="left"/>
              <w:rPr>
                <w:sz w:val="20"/>
              </w:rPr>
            </w:pPr>
            <w:r>
              <w:rPr>
                <w:sz w:val="20"/>
              </w:rPr>
              <w:t>Dated: August 14, 2026</w:t>
            </w:r>
          </w:p>
        </w:tc>
        <w:tc>
          <w:tcPr>
            <w:tcW w:w="320" w:type="dxa"/>
            <w:tcBorders/>
            <w:vAlign w:val="center"/>
          </w:tcPr>
          <w:p>
            <w:pPr>
              <w:pStyle w:val="TableContents"/>
              <w:bidi w:val="0"/>
              <w:spacing w:before="0" w:after="283"/>
              <w:jc w:val="left"/>
              <w:rPr>
                <w:sz w:val="20"/>
              </w:rPr>
            </w:pPr>
            <w:r>
              <w:rPr>
                <w:sz w:val="20"/>
              </w:rPr>
              <w:t>By:</w:t>
            </w:r>
          </w:p>
        </w:tc>
        <w:tc>
          <w:tcPr>
            <w:tcW w:w="3635" w:type="dxa"/>
            <w:tcBorders/>
            <w:vAlign w:val="center"/>
          </w:tcPr>
          <w:p>
            <w:pPr>
              <w:pStyle w:val="TableContents"/>
              <w:bidi w:val="0"/>
              <w:spacing w:before="0" w:after="283"/>
              <w:jc w:val="left"/>
              <w:rPr/>
            </w:pPr>
            <w:r>
              <w:rPr/>
              <w:t>/s/ Laura Riffner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top w:val="single" w:sz="8" w:space="0" w:color="000000"/>
            </w:tcBorders>
            <w:tcMar>
              <w:top w:w="28" w:type="dxa"/>
            </w:tcMar>
            <w:vAlign w:val="center"/>
          </w:tcPr>
          <w:p>
            <w:pPr>
              <w:pStyle w:val="TableContents"/>
              <w:bidi w:val="0"/>
              <w:spacing w:before="0" w:after="283"/>
              <w:jc w:val="left"/>
              <w:rPr>
                <w:sz w:val="20"/>
              </w:rPr>
            </w:pPr>
            <w:r>
              <w:rPr>
                <w:sz w:val="20"/>
              </w:rPr>
              <w:t>Name: Laura Riffner, Chief Financial Officer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4154</Characters>
  <CharactersWithSpaces>4943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