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12,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SOLESENCE,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001-42589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36-3687863</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1319 Marquette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Romeoville, Illinois 60446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(630) 771-6708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SLSN</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12, 2026, the Registrant issued a press release, a copy of which is attached hereto as Exhibit 99.1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12, 2026</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40"/>
          </w:cols>
          <w:pgMar w:left="320" w:top="360" w:right="10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3980" w:type="dxa"/>
            <w:vAlign w:val="bottom"/>
            <w:gridSpan w:val="3"/>
          </w:tcPr>
          <w:p>
            <w:pPr>
              <w:ind w:left="2000"/>
              <w:spacing w:after="0"/>
              <w:rPr>
                <w:sz w:val="20"/>
                <w:szCs w:val="20"/>
                <w:color w:val="auto"/>
              </w:rPr>
            </w:pPr>
            <w:r>
              <w:rPr>
                <w:rFonts w:ascii="Times New Roman" w:cs="Times New Roman" w:eastAsia="Times New Roman" w:hAnsi="Times New Roman"/>
                <w:sz w:val="18"/>
                <w:szCs w:val="18"/>
                <w:b w:val="1"/>
                <w:bCs w:val="1"/>
                <w:color w:val="auto"/>
              </w:rPr>
              <w:t>SOLESENCE, INC.</w:t>
            </w:r>
          </w:p>
        </w:tc>
      </w:tr>
      <w:tr>
        <w:trPr>
          <w:trHeight w:val="68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398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By: /s/ Laura Riffner</w:t>
            </w:r>
          </w:p>
        </w:tc>
      </w:tr>
      <w:tr>
        <w:trPr>
          <w:trHeight w:val="237"/>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Laura Riffner</w:t>
            </w:r>
          </w:p>
        </w:tc>
        <w:tc>
          <w:tcPr>
            <w:tcW w:w="120" w:type="dxa"/>
            <w:vAlign w:val="bottom"/>
          </w:tcPr>
          <w:p>
            <w:pPr>
              <w:spacing w:after="0"/>
              <w:rPr>
                <w:sz w:val="20"/>
                <w:szCs w:val="20"/>
                <w:color w:val="auto"/>
              </w:rPr>
            </w:pPr>
          </w:p>
        </w:tc>
      </w:tr>
      <w:tr>
        <w:trPr>
          <w:trHeight w:val="243"/>
        </w:trPr>
        <w:tc>
          <w:tcPr>
            <w:tcW w:w="34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Chief Financial Officer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Solésence Reports First Quarter 2026 Financial Results</w:t>
      </w:r>
    </w:p>
    <w:p>
      <w:pPr>
        <w:spacing w:after="0" w:line="223" w:lineRule="exact"/>
        <w:rPr>
          <w:sz w:val="20"/>
          <w:szCs w:val="20"/>
          <w:color w:val="auto"/>
        </w:rPr>
      </w:pPr>
    </w:p>
    <w:p>
      <w:pPr>
        <w:jc w:val="center"/>
        <w:ind w:left="340" w:right="140"/>
        <w:spacing w:after="0" w:line="262" w:lineRule="auto"/>
        <w:rPr>
          <w:sz w:val="20"/>
          <w:szCs w:val="20"/>
          <w:color w:val="auto"/>
        </w:rPr>
      </w:pPr>
      <w:r>
        <w:rPr>
          <w:rFonts w:ascii="Times New Roman" w:cs="Times New Roman" w:eastAsia="Times New Roman" w:hAnsi="Times New Roman"/>
          <w:sz w:val="22"/>
          <w:szCs w:val="22"/>
          <w:i w:val="1"/>
          <w:iCs w:val="1"/>
          <w:color w:val="auto"/>
        </w:rPr>
        <w:t>Advances implementation of Transform and Transcend strategic initiative across Operational Excellence and New Technology Commercialization</w:t>
      </w:r>
    </w:p>
    <w:p>
      <w:pPr>
        <w:spacing w:after="0" w:line="15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ROMEOVILLE, Ill., May 12, 2026 (GLOBE NEWSWIRE) -- Solésence, Inc. (Nasdaq: SLSN), a leader in scientifically-driven health care solutions across beauty and life science categories, today announced financial results for the first quarter ended March 31, 2026.</w:t>
      </w:r>
    </w:p>
    <w:p>
      <w:pPr>
        <w:spacing w:after="0" w:line="17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1"/>
          <w:szCs w:val="21"/>
          <w:color w:val="auto"/>
        </w:rPr>
        <w:t>“In March, we introduced Transform and Transcend to our investor community, the strategic initiative that we began at the end of 2025,” commented Kevin Cureton, President and Chief Executive Officer. “Our first quarter results reflect our disciplined execution on this initiative, particularly on our first and foundational pillar, operational excellence. Combined with steady early progress in our efforts to further leverage our intellectual property, expand our addressable market, and evolve our service model to capture greater share of the value chain, Solésence is well positioned to drive long-term, sustainable profitability and growth.”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Highlights and Accomplishments</w:t>
      </w:r>
    </w:p>
    <w:p>
      <w:pPr>
        <w:spacing w:after="0" w:line="210" w:lineRule="exact"/>
        <w:rPr>
          <w:sz w:val="20"/>
          <w:szCs w:val="20"/>
          <w:color w:val="auto"/>
        </w:rPr>
      </w:pPr>
    </w:p>
    <w:p>
      <w:pPr>
        <w:ind w:left="540" w:right="580"/>
        <w:spacing w:after="0" w:line="258" w:lineRule="auto"/>
        <w:rPr>
          <w:sz w:val="20"/>
          <w:szCs w:val="20"/>
          <w:color w:val="auto"/>
        </w:rPr>
      </w:pPr>
      <w:r>
        <w:rPr>
          <w:rFonts w:ascii="Times New Roman" w:cs="Times New Roman" w:eastAsia="Times New Roman" w:hAnsi="Times New Roman"/>
          <w:sz w:val="22"/>
          <w:szCs w:val="22"/>
          <w:color w:val="auto"/>
        </w:rPr>
        <w:t>Improved gross margin through disciplined execution of first pillar of Transform &amp; Transcend Initiative: Operational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Expanded OTC claims with commercialization of new platform technologies: WHSPR™ and Chromalüm™.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7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Added financial executive Marc James as new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Laura Riffner, Chief Financial Officer, added, “In the first quarter, Solésence’s investments focused on its operational infrastructure, including employee training and organizational restructuring which created near-term pressure on profitability but also resulted in improved efficiency and reduced labor costs across the business. We expect this will position us for improved operational and financial results as we move through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Financial Highlights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 for the first quarter was $13.0 million, compared to $14.6 million for the same period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Gross profit in the first quarter was $3.3 million, compared to $3.4 million for the same period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Gross margin in the first quarter was 26%, compared to 23% for the same period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240"/>
        <w:spacing w:after="0" w:line="258" w:lineRule="auto"/>
        <w:rPr>
          <w:sz w:val="20"/>
          <w:szCs w:val="20"/>
          <w:color w:val="auto"/>
        </w:rPr>
      </w:pPr>
      <w:r>
        <w:rPr>
          <w:rFonts w:ascii="Times New Roman" w:cs="Times New Roman" w:eastAsia="Times New Roman" w:hAnsi="Times New Roman"/>
          <w:sz w:val="22"/>
          <w:szCs w:val="22"/>
          <w:color w:val="auto"/>
        </w:rPr>
        <w:t>Net loss for the first quarter was approximately $0.8 million, compared to net income of approximately $0.08 million for the same period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18" w:lineRule="exact"/>
        <w:rPr>
          <w:sz w:val="20"/>
          <w:szCs w:val="20"/>
          <w:color w:val="auto"/>
        </w:rPr>
      </w:pPr>
    </w:p>
    <w:p>
      <w:pPr>
        <w:ind w:right="280"/>
        <w:spacing w:after="0" w:line="235" w:lineRule="auto"/>
        <w:rPr>
          <w:sz w:val="20"/>
          <w:szCs w:val="20"/>
          <w:color w:val="auto"/>
        </w:rPr>
      </w:pPr>
      <w:r>
        <w:rPr>
          <w:rFonts w:ascii="Times New Roman" w:cs="Times New Roman" w:eastAsia="Times New Roman" w:hAnsi="Times New Roman"/>
          <w:sz w:val="22"/>
          <w:szCs w:val="22"/>
          <w:color w:val="auto"/>
        </w:rPr>
        <w:t>Solésence will host its first quarter conference call on Tuesday, May 12, 2026, at 7:30 a.m. CT, 8:30 a.m. ET, to discuss its financial results and provide a business and financial update. On the call will be Kevin Cureton, President and Chief Executive Officer, and Laura Riffner, Chief Financial Officer.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Webcast Link: </w:t>
      </w:r>
      <w:r>
        <w:rPr>
          <w:rFonts w:ascii="Times New Roman" w:cs="Times New Roman" w:eastAsia="Times New Roman" w:hAnsi="Times New Roman"/>
          <w:sz w:val="22"/>
          <w:szCs w:val="22"/>
          <w:color w:val="auto"/>
        </w:rPr>
        <w:t>https://edge.media-server.com/mmc/p/t9uyyvcs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Dial-In Link: </w:t>
      </w:r>
      <w:r>
        <w:rPr>
          <w:rFonts w:ascii="Times New Roman" w:cs="Times New Roman" w:eastAsia="Times New Roman" w:hAnsi="Times New Roman"/>
          <w:sz w:val="22"/>
          <w:szCs w:val="22"/>
          <w:color w:val="auto"/>
        </w:rPr>
        <w:t>https://register-conf.media-server.com/register/BI8309d9a33aea468ab429e32ef4434b33</w:t>
      </w:r>
    </w:p>
    <w:p>
      <w:pPr>
        <w:spacing w:after="0" w:line="210"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To receive the dial-in number, as well as your personalized PIN, you must register at the above link. Once registered, you will also have the option to have the system dial-out to you once the conference call begins. If you forget your PIN prior to the conference call, you can simply re-register.</w:t>
      </w:r>
    </w:p>
    <w:p>
      <w:pPr>
        <w:spacing w:after="0" w:line="173"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The call may also be accessed through the Company’s investor relations website, at https://ir.solesence.com/. Please join the conference call at least five minutes before the start time.</w:t>
      </w:r>
    </w:p>
    <w:p>
      <w:pPr>
        <w:spacing w:after="0" w:line="154" w:lineRule="exact"/>
        <w:rPr>
          <w:sz w:val="20"/>
          <w:szCs w:val="20"/>
          <w:color w:val="auto"/>
        </w:rPr>
      </w:pPr>
    </w:p>
    <w:p>
      <w:pPr>
        <w:ind w:right="5600"/>
        <w:spacing w:after="0" w:line="346" w:lineRule="auto"/>
        <w:rPr>
          <w:sz w:val="20"/>
          <w:szCs w:val="20"/>
          <w:color w:val="auto"/>
        </w:rPr>
      </w:pPr>
      <w:r>
        <w:rPr>
          <w:rFonts w:ascii="Times New Roman" w:cs="Times New Roman" w:eastAsia="Times New Roman" w:hAnsi="Times New Roman"/>
          <w:sz w:val="22"/>
          <w:szCs w:val="22"/>
          <w:b w:val="1"/>
          <w:bCs w:val="1"/>
          <w:color w:val="auto"/>
        </w:rPr>
        <w:t>FINANCIAL RESULTS AND NON-GAAP INFORMATION Use of Non-GAAP Financial Information</w:t>
      </w:r>
    </w:p>
    <w:p>
      <w:pPr>
        <w:spacing w:after="0" w:line="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1"/>
          <w:szCs w:val="21"/>
          <w:color w:val="auto"/>
        </w:rPr>
        <w:t>Solésence believes that the presentation of results excluding certain items, such as non-cash equity compensation charges, provides meaningful supplemental information to both management and investors, facilitating the evaluation of performance across reporting periods. The Company uses these non-GAAP measures for internal planning and reporting purposes. These non-GAAP measures are not in accordance with, or an alternative for, Generally Accepted Accounting Principles (“GAAP”) and may be different from non-GAAP measures used by other companies. The presentation of this additional information is not meant to be considered in isolation or as a substitute for net income or net income per share prepared in accordance with GAAP.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Solésence, Inc.</w:t>
      </w:r>
    </w:p>
    <w:p>
      <w:pPr>
        <w:spacing w:after="0" w:line="1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1"/>
          <w:szCs w:val="21"/>
          <w:color w:val="auto"/>
        </w:rPr>
        <w:t>Solésence, Inc. (Nasdaq: SLSN) is a leader in scientifically-driven health care solutions across beauty and life science categories. With a mission to deliver joy through innovation, inclusivity and the science of beautiful skin, we have redefined mineral-based</w:t>
      </w:r>
    </w:p>
    <w:p>
      <w:pPr>
        <w:sectPr>
          <w:pgSz w:w="11900" w:h="16838" w:orient="portrait"/>
          <w:cols w:equalWidth="0" w:num="1">
            <w:col w:w="11240"/>
          </w:cols>
          <w:pgMar w:left="320" w:top="108" w:right="339" w:bottom="0" w:gutter="0" w:footer="0" w:header="0"/>
        </w:sectPr>
      </w:pPr>
    </w:p>
    <w:bookmarkStart w:id="4" w:name="page5"/>
    <w:bookmarkEnd w:id="4"/>
    <w:p>
      <w:pPr>
        <w:jc w:val="both"/>
        <w:ind w:right="380"/>
        <w:spacing w:after="0"/>
        <w:rPr>
          <w:sz w:val="20"/>
          <w:szCs w:val="20"/>
          <w:color w:val="auto"/>
        </w:rPr>
      </w:pPr>
      <w:r>
        <w:rPr>
          <w:rFonts w:ascii="Times New Roman" w:cs="Times New Roman" w:eastAsia="Times New Roman" w:hAnsi="Times New Roman"/>
          <w:sz w:val="22"/>
          <w:szCs w:val="22"/>
          <w:color w:val="auto"/>
        </w:rPr>
        <w:t>sun protection by maximizing transparency, effectiveness, aesthetics, and wearability — empowering individuals to embrace beauty on their own terms. Combining best-in-class skin health solutions with the celebration of self-care, we allow brands to deliver unique product claims and attributes by seamlessly integrating protection, prevention, and treatment technologies into daily use products. Learn more at solesence.com.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i w:val="1"/>
          <w:iCs w:val="1"/>
          <w:color w:val="auto"/>
        </w:rPr>
        <w:t>This press release contains words such as “expects,” “shall,” “will,” “believes,” and similar expressions that are intended to identify forward-looking statements within the meaning of the Safe Harbor Provisions of the Private Securities Litigation Reform Act of 1995. Such statements in this announcement are made based on the Company’s current beliefs, known events and circumstances at the time of publication, and as such, are subject in the future to unforeseen risks and uncertainties that could cause the Company’s results of operations, performance, and achievements to differ materially from current expectations expressed in, or implied by, these forward-looking statements. These risks and uncertainties include, without limitation, the following: a decision by a customer to cancel a purchase order or supply agreement in light of the Company’s dependence on a limited number of key customers; uncertain demand for, and acceptance of, the Company’s engineered materials, ingredients, and fully formulated products; the Company’s manufacturing capacity and product mix flexibility in light of customer demand; the Company’s limited marketing experience; changes in development and distribution relationships; the impact of competitive products and technologies; the Company’s dependence on patents and protection of proprietary information; the resolution of litigation in which the Company may become involved; the impact of any potential new government regulations that could be difficult to respond to or too costly to comply with while remaining financially viable; the ability of the Company to maintain an appropriate electronic trading venue; and other factors described in the Company’s Form 10-K filed March 31, 2026. In addition, the Company’s forward-looking statements could be affected by general industry and market conditions and growth rates. Except as required by federal securities laws, the Company undertakes no obligation to update or revise these forward-looking statements to reflect new events, uncertainties, or other contingencies.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media@solesence.com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investors@solesence.com</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SOLESENCE,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Consolidated Condensed)</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200" w:type="dxa"/>
            <w:vAlign w:val="bottom"/>
          </w:tcPr>
          <w:p>
            <w:pPr>
              <w:spacing w:after="0"/>
              <w:rPr>
                <w:sz w:val="21"/>
                <w:szCs w:val="21"/>
                <w:color w:val="auto"/>
              </w:rPr>
            </w:pPr>
          </w:p>
        </w:tc>
        <w:tc>
          <w:tcPr>
            <w:tcW w:w="3020" w:type="dxa"/>
            <w:vAlign w:val="bottom"/>
            <w:gridSpan w:val="5"/>
          </w:tcPr>
          <w:p>
            <w:pPr>
              <w:jc w:val="right"/>
              <w:spacing w:after="0"/>
              <w:rPr>
                <w:sz w:val="20"/>
                <w:szCs w:val="20"/>
                <w:color w:val="auto"/>
              </w:rPr>
            </w:pPr>
            <w:r>
              <w:rPr>
                <w:rFonts w:ascii="Times New Roman" w:cs="Times New Roman" w:eastAsia="Times New Roman" w:hAnsi="Times New Roman"/>
                <w:sz w:val="22"/>
                <w:szCs w:val="22"/>
                <w:b w:val="1"/>
                <w:bCs w:val="1"/>
                <w:color w:val="auto"/>
              </w:rPr>
              <w:t>(in thousands except share and</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80" w:type="dxa"/>
            <w:vAlign w:val="bottom"/>
            <w:gridSpan w:val="4"/>
          </w:tcPr>
          <w:p>
            <w:pPr>
              <w:jc w:val="right"/>
              <w:ind w:right="712"/>
              <w:spacing w:after="0"/>
              <w:rPr>
                <w:sz w:val="20"/>
                <w:szCs w:val="20"/>
                <w:color w:val="auto"/>
              </w:rPr>
            </w:pPr>
            <w:r>
              <w:rPr>
                <w:rFonts w:ascii="Times New Roman" w:cs="Times New Roman" w:eastAsia="Times New Roman" w:hAnsi="Times New Roman"/>
                <w:sz w:val="22"/>
                <w:szCs w:val="22"/>
                <w:b w:val="1"/>
                <w:bCs w:val="1"/>
                <w:color w:val="auto"/>
              </w:rPr>
              <w:t>per share data)</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7"/>
              </w:rPr>
              <w:t>March 31,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December 31,</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5"/>
              </w:rPr>
              <w:t>2026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86"/>
        </w:trPr>
        <w:tc>
          <w:tcPr>
            <w:tcW w:w="8200" w:type="dxa"/>
            <w:vAlign w:val="bottom"/>
          </w:tcPr>
          <w:p>
            <w:pPr>
              <w:ind w:left="3680"/>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4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8"/>
              </w:rPr>
              <w:t>(Unaudited)</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8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Current assets:</w:t>
            </w: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Cash</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573</w:t>
            </w:r>
          </w:p>
        </w:tc>
        <w:tc>
          <w:tcPr>
            <w:tcW w:w="10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1,288</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Trade accounts receivable</w:t>
            </w:r>
          </w:p>
        </w:tc>
        <w:tc>
          <w:tcPr>
            <w:tcW w:w="14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7,246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7,642</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Allowance for credit losses</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(806)</w:t>
            </w:r>
          </w:p>
        </w:tc>
        <w:tc>
          <w:tcPr>
            <w:tcW w:w="0" w:type="dxa"/>
            <w:vAlign w:val="bottom"/>
          </w:tcPr>
          <w:p>
            <w:pPr>
              <w:spacing w:after="0"/>
              <w:rPr>
                <w:sz w:val="1"/>
                <w:szCs w:val="1"/>
                <w:color w:val="auto"/>
              </w:rPr>
            </w:pPr>
          </w:p>
        </w:tc>
      </w:tr>
      <w:tr>
        <w:trPr>
          <w:trHeight w:val="270"/>
        </w:trPr>
        <w:tc>
          <w:tcPr>
            <w:tcW w:w="82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Trade accounts receivable, net</w:t>
            </w:r>
          </w:p>
        </w:tc>
        <w:tc>
          <w:tcPr>
            <w:tcW w:w="14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6,379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6,836</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Inventories, net</w:t>
            </w:r>
          </w:p>
        </w:tc>
        <w:tc>
          <w:tcPr>
            <w:tcW w:w="14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17,559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18,511</w:t>
            </w:r>
          </w:p>
        </w:tc>
        <w:tc>
          <w:tcPr>
            <w:tcW w:w="0" w:type="dxa"/>
            <w:vAlign w:val="bottom"/>
          </w:tcPr>
          <w:p>
            <w:pPr>
              <w:spacing w:after="0"/>
              <w:rPr>
                <w:sz w:val="1"/>
                <w:szCs w:val="1"/>
                <w:color w:val="auto"/>
              </w:rPr>
            </w:pPr>
          </w:p>
        </w:tc>
      </w:tr>
      <w:tr>
        <w:trPr>
          <w:trHeight w:val="282"/>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Prepaid expenses and other current assets</w:t>
            </w: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1,902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2,141</w:t>
            </w:r>
          </w:p>
        </w:tc>
        <w:tc>
          <w:tcPr>
            <w:tcW w:w="0" w:type="dxa"/>
            <w:vAlign w:val="bottom"/>
          </w:tcPr>
          <w:p>
            <w:pPr>
              <w:spacing w:after="0"/>
              <w:rPr>
                <w:sz w:val="1"/>
                <w:szCs w:val="1"/>
                <w:color w:val="auto"/>
              </w:rPr>
            </w:pPr>
          </w:p>
        </w:tc>
      </w:tr>
      <w:tr>
        <w:trPr>
          <w:trHeight w:val="277"/>
        </w:trPr>
        <w:tc>
          <w:tcPr>
            <w:tcW w:w="82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current assets</w:t>
            </w:r>
          </w:p>
        </w:tc>
        <w:tc>
          <w:tcPr>
            <w:tcW w:w="14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26,413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28,776</w:t>
            </w:r>
          </w:p>
        </w:tc>
        <w:tc>
          <w:tcPr>
            <w:tcW w:w="0" w:type="dxa"/>
            <w:vAlign w:val="bottom"/>
          </w:tcPr>
          <w:p>
            <w:pPr>
              <w:spacing w:after="0"/>
              <w:rPr>
                <w:sz w:val="1"/>
                <w:szCs w:val="1"/>
                <w:color w:val="auto"/>
              </w:rPr>
            </w:pPr>
          </w:p>
        </w:tc>
      </w:tr>
      <w:tr>
        <w:trPr>
          <w:trHeight w:val="514"/>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Equipment and leasehold improvements, net</w:t>
            </w:r>
          </w:p>
        </w:tc>
        <w:tc>
          <w:tcPr>
            <w:tcW w:w="14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14,746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14,329</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Operating leases, right of use</w:t>
            </w:r>
          </w:p>
        </w:tc>
        <w:tc>
          <w:tcPr>
            <w:tcW w:w="14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6,598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6,913</w:t>
            </w:r>
          </w:p>
        </w:tc>
        <w:tc>
          <w:tcPr>
            <w:tcW w:w="0" w:type="dxa"/>
            <w:vAlign w:val="bottom"/>
          </w:tcPr>
          <w:p>
            <w:pPr>
              <w:spacing w:after="0"/>
              <w:rPr>
                <w:sz w:val="1"/>
                <w:szCs w:val="1"/>
                <w:color w:val="auto"/>
              </w:rPr>
            </w:pPr>
          </w:p>
        </w:tc>
      </w:tr>
      <w:tr>
        <w:trPr>
          <w:trHeight w:val="283"/>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assets, net</w:t>
            </w: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264"/>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47,794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50,055</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2480"/>
              <w:spacing w:after="0"/>
              <w:rPr>
                <w:sz w:val="20"/>
                <w:szCs w:val="20"/>
                <w:color w:val="auto"/>
              </w:rPr>
            </w:pPr>
            <w:r>
              <w:rPr>
                <w:rFonts w:ascii="Times New Roman" w:cs="Times New Roman" w:eastAsia="Times New Roman" w:hAnsi="Times New Roman"/>
                <w:sz w:val="22"/>
                <w:szCs w:val="22"/>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6"/>
        </w:trPr>
        <w:tc>
          <w:tcPr>
            <w:tcW w:w="8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8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Current liabilities:</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Line of credit, accounts receivable, related party</w:t>
            </w:r>
          </w:p>
        </w:tc>
        <w:tc>
          <w:tcPr>
            <w:tcW w:w="14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3,047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4,767</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Current portion of operating lease obligations</w:t>
            </w:r>
          </w:p>
        </w:tc>
        <w:tc>
          <w:tcPr>
            <w:tcW w:w="14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1,296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1,255</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Accounts payable</w:t>
            </w:r>
          </w:p>
        </w:tc>
        <w:tc>
          <w:tcPr>
            <w:tcW w:w="14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4,672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4,098</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Deferred revenue</w:t>
            </w:r>
          </w:p>
        </w:tc>
        <w:tc>
          <w:tcPr>
            <w:tcW w:w="14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1,165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930</w:t>
            </w:r>
          </w:p>
        </w:tc>
        <w:tc>
          <w:tcPr>
            <w:tcW w:w="0" w:type="dxa"/>
            <w:vAlign w:val="bottom"/>
          </w:tcPr>
          <w:p>
            <w:pPr>
              <w:spacing w:after="0"/>
              <w:rPr>
                <w:sz w:val="1"/>
                <w:szCs w:val="1"/>
                <w:color w:val="auto"/>
              </w:rPr>
            </w:pPr>
          </w:p>
        </w:tc>
      </w:tr>
      <w:tr>
        <w:trPr>
          <w:trHeight w:val="282"/>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Accrued expenses</w:t>
            </w: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2,511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2,879</w:t>
            </w:r>
          </w:p>
        </w:tc>
        <w:tc>
          <w:tcPr>
            <w:tcW w:w="0" w:type="dxa"/>
            <w:vAlign w:val="bottom"/>
          </w:tcPr>
          <w:p>
            <w:pPr>
              <w:spacing w:after="0"/>
              <w:rPr>
                <w:sz w:val="1"/>
                <w:szCs w:val="1"/>
                <w:color w:val="auto"/>
              </w:rPr>
            </w:pPr>
          </w:p>
        </w:tc>
      </w:tr>
      <w:tr>
        <w:trPr>
          <w:trHeight w:val="265"/>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current liabilities</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12,691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13,929</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Long-term portion of operating lease obligations</w:t>
            </w:r>
          </w:p>
        </w:tc>
        <w:tc>
          <w:tcPr>
            <w:tcW w:w="3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7,440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7,798</w:t>
            </w: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Long-term portion of line of credit, inventory, related party</w:t>
            </w:r>
          </w:p>
        </w:tc>
        <w:tc>
          <w:tcPr>
            <w:tcW w:w="3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9,500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9,500</w:t>
            </w: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Long-term portion of debt, related parties</w:t>
            </w:r>
          </w:p>
        </w:tc>
        <w:tc>
          <w:tcPr>
            <w:tcW w:w="3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1,000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w:t>
            </w:r>
          </w:p>
        </w:tc>
      </w:tr>
      <w:tr>
        <w:trPr>
          <w:trHeight w:val="282"/>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Asset retirement obligations</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196</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194</w:t>
            </w:r>
          </w:p>
        </w:tc>
      </w:tr>
      <w:tr>
        <w:trPr>
          <w:trHeight w:val="265"/>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long-term liabilities</w:t>
            </w: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18,136</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18,492</w:t>
            </w:r>
          </w:p>
        </w:tc>
      </w:tr>
      <w:tr>
        <w:trPr>
          <w:trHeight w:val="520"/>
        </w:trPr>
        <w:tc>
          <w:tcPr>
            <w:tcW w:w="8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Stockholders' equity:</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3"/>
        </w:trPr>
        <w:tc>
          <w:tcPr>
            <w:tcW w:w="82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Preferred stock, $.01 par value, 24,088 shares authorized and no shares issued and</w:t>
            </w: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82"/>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outstanding</w:t>
            </w:r>
          </w:p>
        </w:tc>
        <w:tc>
          <w:tcPr>
            <w:tcW w:w="38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501"/>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Common stock, $.01 par value, 95,000,000 shares authorized; 70,632,445 and 70,614,045</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2"/>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shares issued and outstanding on March 31, 2026 and December 31, 2025, respectively</w:t>
            </w:r>
          </w:p>
        </w:tc>
        <w:tc>
          <w:tcPr>
            <w:tcW w:w="38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706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706</w:t>
            </w:r>
          </w:p>
        </w:tc>
      </w:tr>
      <w:tr>
        <w:trPr>
          <w:trHeight w:val="528"/>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Additional paid-in capital</w:t>
            </w:r>
          </w:p>
        </w:tc>
        <w:tc>
          <w:tcPr>
            <w:tcW w:w="38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115,665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115,566</w:t>
            </w:r>
          </w:p>
        </w:tc>
      </w:tr>
      <w:tr>
        <w:trPr>
          <w:trHeight w:val="282"/>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Accumulated deficit</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(99,404)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(98,638)</w:t>
            </w:r>
          </w:p>
        </w:tc>
      </w:tr>
      <w:tr>
        <w:trPr>
          <w:trHeight w:val="265"/>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stockholders' equity</w:t>
            </w: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16,967</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17,634</w:t>
            </w:r>
          </w:p>
        </w:tc>
      </w:tr>
      <w:tr>
        <w:trPr>
          <w:trHeight w:val="263"/>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liabilities and shareholders' equity</w:t>
            </w: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47,794</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50,055</w:t>
            </w:r>
          </w:p>
        </w:tc>
      </w:tr>
      <w:tr>
        <w:trPr>
          <w:trHeight w:val="20"/>
        </w:trPr>
        <w:tc>
          <w:tcPr>
            <w:tcW w:w="8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SOLESENCE,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(Unaudited Consolidated Condensed)</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(in thousands except share and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80" w:type="dxa"/>
            <w:vAlign w:val="bottom"/>
            <w:gridSpan w:val="4"/>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80" w:type="dxa"/>
            <w:vAlign w:val="bottom"/>
            <w:gridSpan w:val="4"/>
          </w:tcPr>
          <w:p>
            <w:pPr>
              <w:jc w:val="right"/>
              <w:ind w:right="932"/>
              <w:spacing w:after="0"/>
              <w:rPr>
                <w:sz w:val="20"/>
                <w:szCs w:val="20"/>
                <w:color w:val="auto"/>
              </w:rPr>
            </w:pPr>
            <w:r>
              <w:rPr>
                <w:rFonts w:ascii="Times New Roman" w:cs="Times New Roman" w:eastAsia="Times New Roman" w:hAnsi="Times New Roman"/>
                <w:sz w:val="22"/>
                <w:szCs w:val="22"/>
                <w:b w:val="1"/>
                <w:bCs w:val="1"/>
                <w:color w:val="auto"/>
              </w:rPr>
              <w:t>March 31,</w:t>
            </w:r>
          </w:p>
        </w:tc>
        <w:tc>
          <w:tcPr>
            <w:tcW w:w="0" w:type="dxa"/>
            <w:vAlign w:val="bottom"/>
          </w:tcPr>
          <w:p>
            <w:pPr>
              <w:spacing w:after="0"/>
              <w:rPr>
                <w:sz w:val="1"/>
                <w:szCs w:val="1"/>
                <w:color w:val="auto"/>
              </w:rPr>
            </w:pPr>
          </w:p>
        </w:tc>
      </w:tr>
      <w:tr>
        <w:trPr>
          <w:trHeight w:val="287"/>
        </w:trPr>
        <w:tc>
          <w:tcPr>
            <w:tcW w:w="82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Revenue:</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50"/>
        </w:trPr>
        <w:tc>
          <w:tcPr>
            <w:tcW w:w="82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Product revenue</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12,919</w:t>
            </w:r>
          </w:p>
        </w:tc>
        <w:tc>
          <w:tcPr>
            <w:tcW w:w="10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14,575</w:t>
            </w:r>
          </w:p>
        </w:tc>
        <w:tc>
          <w:tcPr>
            <w:tcW w:w="0" w:type="dxa"/>
            <w:vAlign w:val="bottom"/>
          </w:tcPr>
          <w:p>
            <w:pPr>
              <w:spacing w:after="0"/>
              <w:rPr>
                <w:sz w:val="1"/>
                <w:szCs w:val="1"/>
                <w:color w:val="auto"/>
              </w:rPr>
            </w:pP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revenue</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50</w:t>
            </w:r>
          </w:p>
        </w:tc>
        <w:tc>
          <w:tcPr>
            <w:tcW w:w="0" w:type="dxa"/>
            <w:vAlign w:val="bottom"/>
          </w:tcPr>
          <w:p>
            <w:pPr>
              <w:spacing w:after="0"/>
              <w:rPr>
                <w:sz w:val="1"/>
                <w:szCs w:val="1"/>
                <w:color w:val="auto"/>
              </w:rPr>
            </w:pPr>
          </w:p>
        </w:tc>
      </w:tr>
      <w:tr>
        <w:trPr>
          <w:trHeight w:val="277"/>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Net revenue</w:t>
            </w:r>
          </w:p>
        </w:tc>
        <w:tc>
          <w:tcPr>
            <w:tcW w:w="24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12,957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14,625</w:t>
            </w:r>
          </w:p>
        </w:tc>
        <w:tc>
          <w:tcPr>
            <w:tcW w:w="0" w:type="dxa"/>
            <w:vAlign w:val="bottom"/>
          </w:tcPr>
          <w:p>
            <w:pPr>
              <w:spacing w:after="0"/>
              <w:rPr>
                <w:sz w:val="1"/>
                <w:szCs w:val="1"/>
                <w:color w:val="auto"/>
              </w:rPr>
            </w:pPr>
          </w:p>
        </w:tc>
      </w:tr>
      <w:tr>
        <w:trPr>
          <w:trHeight w:val="526"/>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Cost of revenue</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9,620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11,243</w:t>
            </w:r>
          </w:p>
        </w:tc>
        <w:tc>
          <w:tcPr>
            <w:tcW w:w="0" w:type="dxa"/>
            <w:vAlign w:val="bottom"/>
          </w:tcPr>
          <w:p>
            <w:pPr>
              <w:spacing w:after="0"/>
              <w:rPr>
                <w:sz w:val="1"/>
                <w:szCs w:val="1"/>
                <w:color w:val="auto"/>
              </w:rPr>
            </w:pPr>
          </w:p>
        </w:tc>
      </w:tr>
      <w:tr>
        <w:trPr>
          <w:trHeight w:val="277"/>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Gross profit</w:t>
            </w:r>
          </w:p>
        </w:tc>
        <w:tc>
          <w:tcPr>
            <w:tcW w:w="24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3,337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3,382</w:t>
            </w:r>
          </w:p>
        </w:tc>
        <w:tc>
          <w:tcPr>
            <w:tcW w:w="0" w:type="dxa"/>
            <w:vAlign w:val="bottom"/>
          </w:tcPr>
          <w:p>
            <w:pPr>
              <w:spacing w:after="0"/>
              <w:rPr>
                <w:sz w:val="1"/>
                <w:szCs w:val="1"/>
                <w:color w:val="auto"/>
              </w:rPr>
            </w:pPr>
          </w:p>
        </w:tc>
      </w:tr>
      <w:tr>
        <w:trPr>
          <w:trHeight w:val="514"/>
        </w:trPr>
        <w:tc>
          <w:tcPr>
            <w:tcW w:w="8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Operating expense:</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Research and development expense</w:t>
            </w:r>
          </w:p>
        </w:tc>
        <w:tc>
          <w:tcPr>
            <w:tcW w:w="2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1,042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1,018</w:t>
            </w:r>
          </w:p>
        </w:tc>
        <w:tc>
          <w:tcPr>
            <w:tcW w:w="0" w:type="dxa"/>
            <w:vAlign w:val="bottom"/>
          </w:tcPr>
          <w:p>
            <w:pPr>
              <w:spacing w:after="0"/>
              <w:rPr>
                <w:sz w:val="1"/>
                <w:szCs w:val="1"/>
                <w:color w:val="auto"/>
              </w:rPr>
            </w:pP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Selling, general and administrative expense</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2,799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2,108</w:t>
            </w:r>
          </w:p>
        </w:tc>
        <w:tc>
          <w:tcPr>
            <w:tcW w:w="0" w:type="dxa"/>
            <w:vAlign w:val="bottom"/>
          </w:tcPr>
          <w:p>
            <w:pPr>
              <w:spacing w:after="0"/>
              <w:rPr>
                <w:sz w:val="1"/>
                <w:szCs w:val="1"/>
                <w:color w:val="auto"/>
              </w:rPr>
            </w:pPr>
          </w:p>
        </w:tc>
      </w:tr>
      <w:tr>
        <w:trPr>
          <w:trHeight w:val="251"/>
        </w:trPr>
        <w:tc>
          <w:tcPr>
            <w:tcW w:w="82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(loss) income from operations</w:t>
            </w:r>
          </w:p>
        </w:tc>
        <w:tc>
          <w:tcPr>
            <w:tcW w:w="240" w:type="dxa"/>
            <w:vAlign w:val="bottom"/>
          </w:tcPr>
          <w:p>
            <w:pPr>
              <w:spacing w:after="0"/>
              <w:rPr>
                <w:sz w:val="21"/>
                <w:szCs w:val="21"/>
                <w:color w:val="auto"/>
              </w:rPr>
            </w:pPr>
          </w:p>
        </w:tc>
        <w:tc>
          <w:tcPr>
            <w:tcW w:w="12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(504)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256</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Interest income</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Interest expense</w:t>
            </w:r>
          </w:p>
        </w:tc>
        <w:tc>
          <w:tcPr>
            <w:tcW w:w="2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176</w:t>
            </w:r>
          </w:p>
        </w:tc>
        <w:tc>
          <w:tcPr>
            <w:tcW w:w="0" w:type="dxa"/>
            <w:vAlign w:val="bottom"/>
          </w:tcPr>
          <w:p>
            <w:pPr>
              <w:spacing w:after="0"/>
              <w:rPr>
                <w:sz w:val="1"/>
                <w:szCs w:val="1"/>
                <w:color w:val="auto"/>
              </w:rPr>
            </w:pP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nonoperating income</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1"/>
        </w:trPr>
        <w:tc>
          <w:tcPr>
            <w:tcW w:w="82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(loss) income before provision for income taxes</w:t>
            </w:r>
          </w:p>
        </w:tc>
        <w:tc>
          <w:tcPr>
            <w:tcW w:w="240" w:type="dxa"/>
            <w:vAlign w:val="bottom"/>
          </w:tcPr>
          <w:p>
            <w:pPr>
              <w:spacing w:after="0"/>
              <w:rPr>
                <w:sz w:val="21"/>
                <w:szCs w:val="21"/>
                <w:color w:val="auto"/>
              </w:rPr>
            </w:pPr>
          </w:p>
        </w:tc>
        <w:tc>
          <w:tcPr>
            <w:tcW w:w="12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80</w:t>
            </w:r>
          </w:p>
        </w:tc>
        <w:tc>
          <w:tcPr>
            <w:tcW w:w="0" w:type="dxa"/>
            <w:vAlign w:val="bottom"/>
          </w:tcPr>
          <w:p>
            <w:pPr>
              <w:spacing w:after="0"/>
              <w:rPr>
                <w:sz w:val="1"/>
                <w:szCs w:val="1"/>
                <w:color w:val="auto"/>
              </w:rPr>
            </w:pPr>
          </w:p>
        </w:tc>
      </w:tr>
      <w:tr>
        <w:trPr>
          <w:trHeight w:val="283"/>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Net (loss) income</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80</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Net (loss) income per share-basic</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(0.01)</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number of common shares outstanding - basic</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70,625,494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70,103,279</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Net (loss) income per share-diluted</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(0.01)</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number of common shares outstanding - diluted</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70,625,494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72,632,116</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SOLESENCE, INC</w:t>
      </w:r>
    </w:p>
    <w:p>
      <w:pPr>
        <w:spacing w:after="0" w:line="3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 - EXPANDED SCHEDULE</w:t>
      </w:r>
    </w:p>
    <w:p>
      <w:pPr>
        <w:spacing w:after="0" w:line="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(Unaudited Consolidated Condensed)</w:t>
      </w:r>
    </w:p>
    <w:p>
      <w:pPr>
        <w:sectPr>
          <w:pgSz w:w="11900" w:h="16838" w:orient="portrait"/>
          <w:cols w:equalWidth="0" w:num="1">
            <w:col w:w="11220"/>
          </w:cols>
          <w:pgMar w:left="340" w:top="111" w:right="3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7"/>
        </w:trPr>
        <w:tc>
          <w:tcPr>
            <w:tcW w:w="8220" w:type="dxa"/>
            <w:vAlign w:val="bottom"/>
          </w:tcPr>
          <w:p>
            <w:pPr>
              <w:ind w:left="3420"/>
              <w:spacing w:after="0"/>
              <w:rPr>
                <w:sz w:val="20"/>
                <w:szCs w:val="20"/>
                <w:color w:val="auto"/>
              </w:rPr>
            </w:pPr>
            <w:r>
              <w:rPr>
                <w:rFonts w:ascii="Times New Roman" w:cs="Times New Roman" w:eastAsia="Times New Roman" w:hAnsi="Times New Roman"/>
                <w:sz w:val="22"/>
                <w:szCs w:val="22"/>
                <w:b w:val="1"/>
                <w:bCs w:val="1"/>
                <w:color w:val="auto"/>
              </w:rPr>
              <w:t>(in thousands except share and per share data)</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8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5"/>
          </w:tcPr>
          <w:p>
            <w:pPr>
              <w:ind w:left="24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0" w:type="dxa"/>
            <w:vAlign w:val="bottom"/>
          </w:tcPr>
          <w:p>
            <w:pPr>
              <w:spacing w:after="0"/>
              <w:rPr>
                <w:sz w:val="1"/>
                <w:szCs w:val="1"/>
                <w:color w:val="auto"/>
              </w:rPr>
            </w:pPr>
          </w:p>
        </w:tc>
      </w:tr>
      <w:tr>
        <w:trPr>
          <w:trHeight w:val="270"/>
        </w:trPr>
        <w:tc>
          <w:tcPr>
            <w:tcW w:w="8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March 31,</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Revenue: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Product revenue</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12,919</w:t>
            </w:r>
          </w:p>
        </w:tc>
        <w:tc>
          <w:tcPr>
            <w:tcW w:w="100" w:type="dxa"/>
            <w:vAlign w:val="bottom"/>
          </w:tcPr>
          <w:p>
            <w:pPr>
              <w:spacing w:after="0"/>
              <w:rPr>
                <w:sz w:val="23"/>
                <w:szCs w:val="23"/>
                <w:color w:val="auto"/>
              </w:rPr>
            </w:pPr>
          </w:p>
        </w:tc>
        <w:tc>
          <w:tcPr>
            <w:tcW w:w="4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14,575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Other revenue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38</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2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Net revenue</w:t>
            </w:r>
          </w:p>
        </w:tc>
        <w:tc>
          <w:tcPr>
            <w:tcW w:w="3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12,957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i w:val="1"/>
                <w:iCs w:val="1"/>
                <w:color w:val="auto"/>
              </w:rPr>
              <w:t>Cost of revenue detail:</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Depreciation</w:t>
            </w: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302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Non-Cash equity compensation</w:t>
            </w: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Other costs of revenue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9,298</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11,000</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2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Cost of revenue</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9,620</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11,243</w:t>
            </w:r>
          </w:p>
        </w:tc>
        <w:tc>
          <w:tcPr>
            <w:tcW w:w="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82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Gross profit</w:t>
            </w: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3,337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3,382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0"/>
        </w:trPr>
        <w:tc>
          <w:tcPr>
            <w:tcW w:w="82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Operating expense:</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i w:val="1"/>
                <w:iCs w:val="1"/>
                <w:color w:val="auto"/>
              </w:rPr>
              <w:t>Research and development expense detail:</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Depreciation</w:t>
            </w: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Non-Cash equity compensation</w:t>
            </w: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Other research and development expense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1,020</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987</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2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Research and development expense</w:t>
            </w:r>
          </w:p>
        </w:tc>
        <w:tc>
          <w:tcPr>
            <w:tcW w:w="3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1,042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i w:val="1"/>
                <w:iCs w:val="1"/>
                <w:color w:val="auto"/>
              </w:rPr>
              <w:t>Selling, general and administrative expense detail:</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Non-Cash equity compensation</w:t>
            </w: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Other selling, general and administrative expense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2,747</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2,029</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2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Selling, general and administrative expense</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2,799</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2,108</w:t>
            </w:r>
          </w:p>
        </w:tc>
        <w:tc>
          <w:tcPr>
            <w:tcW w:w="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color w:val="auto"/>
              </w:rPr>
              <w:t>Net (loss) income from operations</w:t>
            </w:r>
          </w:p>
        </w:tc>
        <w:tc>
          <w:tcPr>
            <w:tcW w:w="320" w:type="dxa"/>
            <w:vAlign w:val="bottom"/>
          </w:tcPr>
          <w:p>
            <w:pPr>
              <w:spacing w:after="0"/>
              <w:rPr>
                <w:sz w:val="21"/>
                <w:szCs w:val="21"/>
                <w:color w:val="auto"/>
              </w:rPr>
            </w:pPr>
          </w:p>
        </w:tc>
        <w:tc>
          <w:tcPr>
            <w:tcW w:w="11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(504)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Interest income</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Interest expense</w:t>
            </w: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Other nonoperating income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2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Net (loss) income before provision for income taxes</w:t>
            </w:r>
          </w:p>
        </w:tc>
        <w:tc>
          <w:tcPr>
            <w:tcW w:w="32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(loss) income</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(766)</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Non-GAAP Disclosure (see note regarding Non-GAAP disclosures):</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22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140"/>
              <w:spacing w:after="0" w:line="250" w:lineRule="exact"/>
              <w:rPr>
                <w:sz w:val="20"/>
                <w:szCs w:val="20"/>
                <w:color w:val="auto"/>
              </w:rPr>
            </w:pPr>
            <w:r>
              <w:rPr>
                <w:rFonts w:ascii="Times New Roman" w:cs="Times New Roman" w:eastAsia="Times New Roman" w:hAnsi="Times New Roman"/>
                <w:sz w:val="22"/>
                <w:szCs w:val="22"/>
                <w:color w:val="auto"/>
              </w:rPr>
              <w:t>Addback Interest, net</w:t>
            </w:r>
          </w:p>
        </w:tc>
        <w:tc>
          <w:tcPr>
            <w:tcW w:w="320" w:type="dxa"/>
            <w:vAlign w:val="bottom"/>
          </w:tcPr>
          <w:p>
            <w:pPr>
              <w:spacing w:after="0"/>
              <w:rPr>
                <w:sz w:val="21"/>
                <w:szCs w:val="21"/>
                <w:color w:val="auto"/>
              </w:rPr>
            </w:pPr>
          </w:p>
        </w:tc>
        <w:tc>
          <w:tcPr>
            <w:tcW w:w="1140" w:type="dxa"/>
            <w:vAlign w:val="bottom"/>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rPr>
              <w:t>263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176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Addback Depreciation/Amortization</w:t>
            </w: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312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Addback Non-Cash Equity Compensation</w:t>
            </w: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Subtract Non-Cash Other Income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8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Adjusted EBITDA</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(107)</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609</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2026-05-12T07:16:57Z</dcterms:created>
  <dcterms:modified xsi:type="dcterms:W3CDTF">2026-05-12T07:16:57Z</dcterms:modified>
</cp:coreProperties>
</file>