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05" w:lineRule="exact"/>
        <w:rPr>
          <w:sz w:val="24"/>
          <w:szCs w:val="24"/>
          <w:color w:val="auto"/>
        </w:rPr>
      </w:pPr>
    </w:p>
    <w:p>
      <w:pPr>
        <w:ind w:left="460" w:hanging="228"/>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left="5400" w:right="220" w:hanging="5174"/>
        <w:spacing w:after="0" w:line="262" w:lineRule="auto"/>
        <w:tabs>
          <w:tab w:leader="none" w:pos="506"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 TO_____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001-42589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SOLÉSENCE,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18" w:right="339" w:bottom="0" w:gutter="0" w:footer="0" w:header="0"/>
        </w:sectPr>
      </w:pPr>
    </w:p>
    <w:p>
      <w:pPr>
        <w:spacing w:after="0" w:line="20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36-3687863</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04" w:lineRule="exact"/>
        <w:rPr>
          <w:sz w:val="24"/>
          <w:szCs w:val="24"/>
          <w:color w:val="auto"/>
        </w:rPr>
      </w:pPr>
    </w:p>
    <w:p>
      <w:pPr>
        <w:sectPr>
          <w:pgSz w:w="11900" w:h="16838" w:orient="portrait"/>
          <w:cols w:equalWidth="0" w:num="2">
            <w:col w:w="6400" w:space="720"/>
            <w:col w:w="4120"/>
          </w:cols>
          <w:pgMar w:left="320" w:top="718" w:right="339" w:bottom="0" w:gutter="0" w:footer="0" w:header="0"/>
          <w:type w:val="continuous"/>
        </w:sectPr>
      </w:pPr>
    </w:p>
    <w:p>
      <w:pPr>
        <w:spacing w:after="0" w:line="14" w:lineRule="exact"/>
        <w:rPr>
          <w:sz w:val="24"/>
          <w:szCs w:val="24"/>
          <w:color w:val="auto"/>
        </w:rPr>
      </w:pPr>
    </w:p>
    <w:p>
      <w:pPr>
        <w:jc w:val="right"/>
        <w:ind w:right="3760"/>
        <w:spacing w:after="0"/>
        <w:rPr>
          <w:sz w:val="20"/>
          <w:szCs w:val="20"/>
          <w:color w:val="auto"/>
        </w:rPr>
      </w:pPr>
      <w:r>
        <w:rPr>
          <w:rFonts w:ascii="Times New Roman" w:cs="Times New Roman" w:eastAsia="Times New Roman" w:hAnsi="Times New Roman"/>
          <w:sz w:val="18"/>
          <w:szCs w:val="18"/>
          <w:b w:val="1"/>
          <w:bCs w:val="1"/>
          <w:color w:val="auto"/>
        </w:rPr>
        <w:t>1319 Marquette Drive, Romeoville, Illinois 60446</w:t>
      </w:r>
    </w:p>
    <w:p>
      <w:pPr>
        <w:spacing w:after="0" w:line="31" w:lineRule="exact"/>
        <w:rPr>
          <w:sz w:val="24"/>
          <w:szCs w:val="24"/>
          <w:color w:val="auto"/>
        </w:rPr>
      </w:pPr>
    </w:p>
    <w:p>
      <w:pPr>
        <w:jc w:val="right"/>
        <w:ind w:right="38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(630) 771-6708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SOLESENCE,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70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SLSN</w:t>
            </w:r>
          </w:p>
        </w:tc>
        <w:tc>
          <w:tcPr>
            <w:tcW w:w="700" w:type="dxa"/>
            <w:vAlign w:val="bottom"/>
          </w:tcPr>
          <w:p>
            <w:pPr>
              <w:spacing w:after="0"/>
              <w:rPr>
                <w:sz w:val="19"/>
                <w:szCs w:val="19"/>
                <w:color w:val="auto"/>
              </w:rPr>
            </w:pPr>
          </w:p>
        </w:tc>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8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71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718" w:right="339" w:bottom="0" w:gutter="0" w:footer="0" w:header="0"/>
          <w:type w:val="continuous"/>
        </w:sectPr>
      </w:pPr>
    </w:p>
    <w:bookmarkStart w:id="1" w:name="page2"/>
    <w:bookmarkEnd w:id="1"/>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8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7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voting stock held by non-affiliates of the registrant based upon the last reported sale price of the registrant’s common stock on June 30, 2025 was $27,254,231 as of such date.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par value $.01, as of March 30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2026 was 70,632,445.</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31, 2026, Solésence, Inc. (the “Company”) filed its Annual Report on Form 10-K (the “Original Form 10-K”). The purpose of this Amendment No. 1 to the Original Form 10-K is to add Exhibit 97.1, which was inadvertently omitted in the Original Form 10-K. No other items of the Original Form 10-K are being amended, and this Amendment does not reflect any events occurring after the filing of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7" w:lineRule="exact"/>
        <w:rPr>
          <w:sz w:val="20"/>
          <w:szCs w:val="20"/>
          <w:color w:val="auto"/>
        </w:rPr>
      </w:pPr>
    </w:p>
    <w:p>
      <w:pPr>
        <w:jc w:val="both"/>
        <w:ind w:left="660" w:hanging="647"/>
        <w:spacing w:after="0" w:line="266" w:lineRule="auto"/>
        <w:tabs>
          <w:tab w:leader="none" w:pos="640" w:val="left"/>
        </w:tabs>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2</w:t>
        </w:r>
      </w:hyperlink>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EE"/>
        </w:rPr>
        <w:tab/>
        <w:t>Plan and Agreement of Merger dated as of November 25, 1997 by and between the Company and its Illinois predecessor, incorporated by reference to Exhibit 2 to the Company’s Annual Report on Form 10-K for the year ended December 31, 1997 (the “1997 10-K”), SEC File No. 000-22333.</w:t>
      </w:r>
    </w:p>
    <w:p>
      <w:pPr>
        <w:spacing w:after="0" w:line="176" w:lineRule="exact"/>
        <w:rPr>
          <w:sz w:val="20"/>
          <w:szCs w:val="20"/>
          <w:color w:val="auto"/>
        </w:rPr>
      </w:pPr>
    </w:p>
    <w:p>
      <w:pPr>
        <w:spacing w:after="0"/>
        <w:tabs>
          <w:tab w:leader="none" w:pos="640" w:val="left"/>
        </w:tabs>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3(i).1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Certificate of Incorporation of the Company, incorporated by reference to Exhibit 3.1 to the 1997 10-K, SEC File No. 000-22333.</w:t>
      </w:r>
    </w:p>
    <w:p>
      <w:pPr>
        <w:spacing w:after="0" w:line="225"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u w:val="single" w:color="auto"/>
            <w:color w:val="0000EE"/>
          </w:rPr>
          <w:t>3(i).2</w:t>
        </w:r>
      </w:hyperlink>
      <w:r>
        <w:rPr>
          <w:rFonts w:ascii="Times New Roman" w:cs="Times New Roman" w:eastAsia="Times New Roman" w:hAnsi="Times New Roman"/>
          <w:sz w:val="18"/>
          <w:szCs w:val="18"/>
          <w:color w:val="0000EE"/>
        </w:rPr>
        <w:tab/>
        <w:t>First Amendment to the Certificate of Incorporation of the Company dated July 27, 2006, incorporated by reference to Exhibit 99.3 to the Company’s Current Report on Form 8-K filed July 27, 2006, SEC File No. 000-22333.</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u w:val="single" w:color="auto"/>
            <w:color w:val="0000EE"/>
          </w:rPr>
          <w:t>3(i).3</w:t>
        </w:r>
      </w:hyperlink>
      <w:r>
        <w:rPr>
          <w:rFonts w:ascii="Times New Roman" w:cs="Times New Roman" w:eastAsia="Times New Roman" w:hAnsi="Times New Roman"/>
          <w:sz w:val="18"/>
          <w:szCs w:val="18"/>
          <w:color w:val="0000EE"/>
        </w:rPr>
        <w:tab/>
        <w:t>Second Amendment to the Certificate of Incorporation of the Company dated August 23, 2010, incorporated by reference to Exhibit A of the Company’s Definitive Proxy Statement on Schedule 14A filed July 9, 2010, SEC File No. 000-22333.</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u w:val="single" w:color="auto"/>
            <w:color w:val="0000EE"/>
          </w:rPr>
          <w:t>3(i).4</w:t>
        </w:r>
      </w:hyperlink>
      <w:r>
        <w:rPr>
          <w:rFonts w:ascii="Times New Roman" w:cs="Times New Roman" w:eastAsia="Times New Roman" w:hAnsi="Times New Roman"/>
          <w:sz w:val="18"/>
          <w:szCs w:val="18"/>
          <w:color w:val="0000EE"/>
        </w:rPr>
        <w:tab/>
        <w:t>Third Amendment to the Certificate of Incorporation of the Company, incorporated by reference to Exhibit 3.1 to the Company’s Current Report on Form 8-K filed August 29, 2016.</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3(i).5</w:t>
        </w:r>
      </w:hyperlink>
      <w:r>
        <w:rPr>
          <w:rFonts w:ascii="Times New Roman" w:cs="Times New Roman" w:eastAsia="Times New Roman" w:hAnsi="Times New Roman"/>
          <w:sz w:val="18"/>
          <w:szCs w:val="18"/>
          <w:color w:val="0000EE"/>
        </w:rPr>
        <w:tab/>
        <w:t>Fourth Amendment to the Certificate of Incorporation of the Company, incorporated by reference to Exhibit 3.1 to the Company’s Current Report on Form 8-K filed November 22, 2019.</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3(i).</w:t>
        </w:r>
      </w:hyperlink>
      <w:r>
        <w:rPr>
          <w:rFonts w:ascii="Times New Roman" w:cs="Times New Roman" w:eastAsia="Times New Roman" w:hAnsi="Times New Roman"/>
          <w:sz w:val="18"/>
          <w:szCs w:val="18"/>
          <w:color w:val="000000"/>
        </w:rPr>
        <w:t>6</w:t>
      </w:r>
      <w:r>
        <w:rPr>
          <w:rFonts w:ascii="Times New Roman" w:cs="Times New Roman" w:eastAsia="Times New Roman" w:hAnsi="Times New Roman"/>
          <w:sz w:val="18"/>
          <w:szCs w:val="18"/>
          <w:color w:val="0000EE"/>
        </w:rPr>
        <w:tab/>
        <w:t>Fifth Amendment to the Certificate of Incorporation of the Company, incorporated by reference to Exhibit 3(i).6 to the Company’s Annual Report on Form 10-K filed March 28, 2024.</w:t>
      </w:r>
    </w:p>
    <w:p>
      <w:pPr>
        <w:spacing w:after="0" w:line="162" w:lineRule="exact"/>
        <w:rPr>
          <w:sz w:val="20"/>
          <w:szCs w:val="20"/>
          <w:color w:val="auto"/>
        </w:rPr>
      </w:pPr>
    </w:p>
    <w:p>
      <w:pPr>
        <w:ind w:left="660" w:right="200" w:hanging="647"/>
        <w:spacing w:after="0" w:line="282" w:lineRule="auto"/>
        <w:tabs>
          <w:tab w:leader="none" w:pos="640" w:val="left"/>
        </w:tabs>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3(i).7</w:t>
        </w:r>
      </w:hyperlink>
      <w:r>
        <w:rPr>
          <w:rFonts w:ascii="Times New Roman" w:cs="Times New Roman" w:eastAsia="Times New Roman" w:hAnsi="Times New Roman"/>
          <w:sz w:val="18"/>
          <w:szCs w:val="18"/>
          <w:color w:val="0000EE"/>
        </w:rPr>
        <w:tab/>
        <w:t>Sixth Amendment to the Certificate of Incorporation of the Company, incorporated by reference to Exhibit 3.1 to the Company’s Current Report on Form 8-K filed January 16, 2025.</w:t>
      </w:r>
    </w:p>
    <w:p>
      <w:pPr>
        <w:spacing w:after="0" w:line="162" w:lineRule="exact"/>
        <w:rPr>
          <w:sz w:val="20"/>
          <w:szCs w:val="20"/>
          <w:color w:val="auto"/>
        </w:rPr>
      </w:pPr>
    </w:p>
    <w:p>
      <w:pPr>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3(i).8</w:t>
        </w:r>
      </w:hyperlink>
      <w:r>
        <w:rPr>
          <w:rFonts w:ascii="Times New Roman" w:cs="Times New Roman" w:eastAsia="Times New Roman" w:hAnsi="Times New Roman"/>
          <w:sz w:val="18"/>
          <w:szCs w:val="18"/>
          <w:color w:val="0000EE"/>
        </w:rPr>
        <w:tab/>
        <w:t>Seventh Amendment to the Certificate of Incorporation of the Company, incorporated by reference to Exhibit 3.1 to the Company’s Current Report on Form 8-K filed March 12, 2025.</w:t>
      </w:r>
    </w:p>
    <w:p>
      <w:pPr>
        <w:spacing w:after="0" w:line="162" w:lineRule="exact"/>
        <w:rPr>
          <w:sz w:val="20"/>
          <w:szCs w:val="20"/>
          <w:color w:val="auto"/>
        </w:rPr>
      </w:pPr>
    </w:p>
    <w:p>
      <w:pPr>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3(i).9</w:t>
        </w:r>
      </w:hyperlink>
      <w:r>
        <w:rPr>
          <w:rFonts w:ascii="Times New Roman" w:cs="Times New Roman" w:eastAsia="Times New Roman" w:hAnsi="Times New Roman"/>
          <w:sz w:val="18"/>
          <w:szCs w:val="18"/>
          <w:color w:val="0000EE"/>
        </w:rPr>
        <w:tab/>
        <w:t>Certificate of Correction to the Certificate of Incorporation of the Company, incorporated by reference to Exhibit 3.1 to the Company’s Current Report on Form 8-K filed June 9, 2025.</w:t>
      </w:r>
    </w:p>
    <w:p>
      <w:pPr>
        <w:spacing w:after="0" w:line="162" w:lineRule="exact"/>
        <w:rPr>
          <w:sz w:val="20"/>
          <w:szCs w:val="20"/>
          <w:color w:val="auto"/>
        </w:rPr>
      </w:pPr>
    </w:p>
    <w:p>
      <w:pPr>
        <w:spacing w:after="0"/>
        <w:tabs>
          <w:tab w:leader="none" w:pos="640" w:val="left"/>
        </w:tabs>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3(ii).1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By-Laws of the Company, incorporated by reference to Exhibit 3.2 to the 1997 10-K, SEC File No. 000-22333.</w:t>
      </w:r>
    </w:p>
    <w:p>
      <w:pPr>
        <w:spacing w:after="0" w:line="225" w:lineRule="exact"/>
        <w:rPr>
          <w:sz w:val="20"/>
          <w:szCs w:val="20"/>
          <w:color w:val="auto"/>
        </w:rPr>
      </w:pPr>
    </w:p>
    <w:p>
      <w:pPr>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color w:val="0000EE"/>
        </w:rPr>
        <w:tab/>
        <w:t>Specimen stock certificate representing common stock, incorporated by reference to Exhibit 4.1 to the Company’s Registration Statement on Form S-1/A filed November 4, 1997 (File No. 333-36937) (the “Form S-1/A”).</w:t>
      </w:r>
    </w:p>
    <w:p>
      <w:pPr>
        <w:spacing w:after="0" w:line="162" w:lineRule="exact"/>
        <w:rPr>
          <w:sz w:val="20"/>
          <w:szCs w:val="20"/>
          <w:color w:val="auto"/>
        </w:rPr>
      </w:pPr>
    </w:p>
    <w:p>
      <w:pPr>
        <w:spacing w:after="0"/>
        <w:tabs>
          <w:tab w:leader="none" w:pos="640" w:val="left"/>
        </w:tabs>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color w:val="0000EE"/>
        </w:rPr>
        <w:tab/>
        <w:t>Form of Warrants, incorporated by reference to Exhibit 4.2 to the Company’s Registration Statement on Form S-1 filed October 1, 1997 (File No.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333-36937) (the “IPO S-1”).</w:t>
      </w:r>
    </w:p>
    <w:p>
      <w:pPr>
        <w:spacing w:after="0" w:line="207" w:lineRule="exact"/>
        <w:rPr>
          <w:sz w:val="20"/>
          <w:szCs w:val="20"/>
          <w:color w:val="auto"/>
        </w:rPr>
      </w:pPr>
    </w:p>
    <w:p>
      <w:pPr>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color w:val="0000EE"/>
        </w:rPr>
        <w:tab/>
        <w:t>Certificate of Designations of Series A Junior Participating Preferred Stock, incorporated by reference to Exhibit 4.4 to the Company’s Annual Report on Form 10-K for the year ended December 31, 1998, SEC File No. 000-22333.</w:t>
      </w:r>
    </w:p>
    <w:p>
      <w:pPr>
        <w:spacing w:after="0" w:line="162" w:lineRule="exact"/>
        <w:rPr>
          <w:sz w:val="20"/>
          <w:szCs w:val="20"/>
          <w:color w:val="auto"/>
        </w:rPr>
      </w:pPr>
    </w:p>
    <w:p>
      <w:pPr>
        <w:spacing w:after="0"/>
        <w:tabs>
          <w:tab w:leader="none" w:pos="640" w:val="left"/>
        </w:tabs>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4.4</w:t>
        </w:r>
      </w:hyperlink>
      <w:r>
        <w:rPr>
          <w:rFonts w:ascii="Times New Roman" w:cs="Times New Roman" w:eastAsia="Times New Roman" w:hAnsi="Times New Roman"/>
          <w:sz w:val="18"/>
          <w:szCs w:val="18"/>
          <w:color w:val="0000EE"/>
        </w:rPr>
        <w:tab/>
        <w:t>Stock Purchase Agreement dated August 25, 2006 between the Company and Rohm and Haas Electronic Materials CMP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by reference to Exhibit 99.1 to the Company’s Current Report on Form 8-K filed August 28, 2006, SEC File No. 000-22333.</w:t>
      </w:r>
    </w:p>
    <w:p>
      <w:pPr>
        <w:spacing w:after="0" w:line="207" w:lineRule="exact"/>
        <w:rPr>
          <w:sz w:val="20"/>
          <w:szCs w:val="20"/>
          <w:color w:val="auto"/>
        </w:rPr>
      </w:pPr>
    </w:p>
    <w:p>
      <w:pPr>
        <w:spacing w:after="0"/>
        <w:tabs>
          <w:tab w:leader="none" w:pos="640" w:val="left"/>
        </w:tabs>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4.5</w:t>
        </w:r>
      </w:hyperlink>
      <w:r>
        <w:rPr>
          <w:rFonts w:ascii="Times New Roman" w:cs="Times New Roman" w:eastAsia="Times New Roman" w:hAnsi="Times New Roman"/>
          <w:sz w:val="18"/>
          <w:szCs w:val="18"/>
          <w:color w:val="0000EE"/>
        </w:rPr>
        <w:tab/>
        <w:t>Registration Rights Agreement dated August 25, 2006 between the Company and Rohm and Haas Electronic Materials CMP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by reference to Exhibit 99.2 to the Company’s Current Report on Form 8-K filed August 28, 2006, SEC File No. 000-22333.</w:t>
      </w:r>
    </w:p>
    <w:p>
      <w:pPr>
        <w:spacing w:after="0" w:line="207" w:lineRule="exact"/>
        <w:rPr>
          <w:sz w:val="20"/>
          <w:szCs w:val="20"/>
          <w:color w:val="auto"/>
        </w:rPr>
      </w:pPr>
    </w:p>
    <w:p>
      <w:pPr>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u w:val="single" w:color="auto"/>
            <w:color w:val="0000EE"/>
          </w:rPr>
          <w:t>4.6</w:t>
        </w:r>
      </w:hyperlink>
      <w:r>
        <w:rPr>
          <w:rFonts w:ascii="Times New Roman" w:cs="Times New Roman" w:eastAsia="Times New Roman" w:hAnsi="Times New Roman"/>
          <w:sz w:val="18"/>
          <w:szCs w:val="18"/>
          <w:color w:val="0000EE"/>
        </w:rPr>
        <w:tab/>
        <w:t>Common Stock Purchase Agreement, dated February 10, 2016, between the Company and Bradford T. Whitmore, incorporated by reference to Exhibit 4.1 of the Company’s Current Report on Form 8-K filed February 10, 2016.</w:t>
      </w:r>
    </w:p>
    <w:p>
      <w:pPr>
        <w:spacing w:after="0" w:line="162" w:lineRule="exact"/>
        <w:rPr>
          <w:sz w:val="20"/>
          <w:szCs w:val="20"/>
          <w:color w:val="auto"/>
        </w:rPr>
      </w:pPr>
    </w:p>
    <w:p>
      <w:pPr>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u w:val="single" w:color="auto"/>
            <w:color w:val="0000EE"/>
          </w:rPr>
          <w:t>4.7</w:t>
        </w:r>
      </w:hyperlink>
      <w:r>
        <w:rPr>
          <w:rFonts w:ascii="Times New Roman" w:cs="Times New Roman" w:eastAsia="Times New Roman" w:hAnsi="Times New Roman"/>
          <w:sz w:val="18"/>
          <w:szCs w:val="18"/>
          <w:color w:val="0000EE"/>
        </w:rPr>
        <w:tab/>
        <w:t>Common Stock Purchase Agreement, dated December 19, 2017, between the Company and Bradford T. Whitmore, incorporated by reference to Exhibit 4.1 of the Company’s Current Report on Form 8-K filed December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tabs>
          <w:tab w:leader="none" w:pos="640" w:val="left"/>
        </w:tabs>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u w:val="single" w:color="auto"/>
            <w:color w:val="0000EE"/>
          </w:rPr>
          <w:t>4.8</w:t>
        </w:r>
      </w:hyperlink>
      <w:r>
        <w:rPr>
          <w:rFonts w:ascii="Times New Roman" w:cs="Times New Roman" w:eastAsia="Times New Roman" w:hAnsi="Times New Roman"/>
          <w:sz w:val="18"/>
          <w:szCs w:val="18"/>
          <w:color w:val="0000EE"/>
        </w:rPr>
        <w:tab/>
        <w:t>Common Stock Purchase Agreement, dated May 13, 2019, between the Company and Bradford T. Whitmore, incorporated by reference to Exhibit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of the Company’s Quarterly Report on Form 10-Q filed May 15, 2019</w:t>
      </w:r>
    </w:p>
    <w:p>
      <w:pPr>
        <w:spacing w:after="0" w:line="207" w:lineRule="exact"/>
        <w:rPr>
          <w:sz w:val="20"/>
          <w:szCs w:val="20"/>
          <w:color w:val="auto"/>
        </w:rPr>
      </w:pPr>
    </w:p>
    <w:p>
      <w:pPr>
        <w:spacing w:after="0"/>
        <w:tabs>
          <w:tab w:leader="none" w:pos="640" w:val="left"/>
        </w:tabs>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u w:val="single" w:color="auto"/>
            <w:color w:val="0000EE"/>
          </w:rPr>
          <w:t>4.9</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Securities Purchase Agreement, dated November 13, 2019, between the Company and Bradford T. Whitmore, incorporated by reference to Exhibit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of the Company’s Quarterly Report on Form 10-Q filed November 14, 2019.</w:t>
      </w:r>
    </w:p>
    <w:p>
      <w:pPr>
        <w:spacing w:after="0" w:line="207"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u w:val="single" w:color="auto"/>
            <w:color w:val="0000EE"/>
          </w:rPr>
          <w:t>4.10</w:t>
        </w:r>
      </w:hyperlink>
      <w:r>
        <w:rPr>
          <w:rFonts w:ascii="Times New Roman" w:cs="Times New Roman" w:eastAsia="Times New Roman" w:hAnsi="Times New Roman"/>
          <w:sz w:val="18"/>
          <w:szCs w:val="18"/>
          <w:color w:val="0000EE"/>
        </w:rPr>
        <w:tab/>
        <w:t>Commercial Security Agreement, dated November 20, 2019, between the Company, Solésence, LLC and Bradford T. Whitmore, incorporated by reference to Exhibit 4.2 of the Company’s Quarterly Report on Form 10-Q filed November 14, 2019.</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u w:val="single" w:color="auto"/>
            <w:color w:val="0000EE"/>
          </w:rPr>
          <w:t>4.11</w:t>
        </w:r>
      </w:hyperlink>
      <w:r>
        <w:rPr>
          <w:rFonts w:ascii="Times New Roman" w:cs="Times New Roman" w:eastAsia="Times New Roman" w:hAnsi="Times New Roman"/>
          <w:sz w:val="18"/>
          <w:szCs w:val="18"/>
          <w:color w:val="0000EE"/>
        </w:rPr>
        <w:tab/>
        <w:t>Certification of Designation of Series X Preferred Stock, incorporated by reference to Exhibit 3.1 to the Company’s Current Report on Form 8-K filed March 5, 2024, EC File No. 000-22333.</w:t>
      </w:r>
    </w:p>
    <w:p>
      <w:pPr>
        <w:spacing w:after="0" w:line="162" w:lineRule="exact"/>
        <w:rPr>
          <w:sz w:val="20"/>
          <w:szCs w:val="20"/>
          <w:color w:val="auto"/>
        </w:rPr>
      </w:pPr>
    </w:p>
    <w:p>
      <w:pPr>
        <w:spacing w:after="0"/>
        <w:tabs>
          <w:tab w:leader="none" w:pos="640" w:val="left"/>
        </w:tabs>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t>Industrial Building Lease dated September 15, 2004 between the Company and the Village of Burr Ridge, incorporated by reference to Exhibit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10.32 to the Company’s Annual Report on Form 10-K for the year ended December 31, 2004 (the “2004 10-K”), SEC File No. 000- 22333.</w:t>
      </w:r>
    </w:p>
    <w:p>
      <w:pPr>
        <w:spacing w:after="0" w:line="207" w:lineRule="exact"/>
        <w:rPr>
          <w:sz w:val="20"/>
          <w:szCs w:val="20"/>
          <w:color w:val="auto"/>
        </w:rPr>
      </w:pPr>
    </w:p>
    <w:p>
      <w:pPr>
        <w:jc w:val="both"/>
        <w:ind w:left="660" w:hanging="647"/>
        <w:spacing w:after="0" w:line="266" w:lineRule="auto"/>
        <w:tabs>
          <w:tab w:leader="none" w:pos="640" w:val="left"/>
        </w:tabs>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color w:val="0000EE"/>
        </w:rPr>
        <w:tab/>
        <w:t>Industrial Building Lease Agreement between Centerpoint Properties Trust (formerly CP Financing Trust) and the Company, dated June 15, 2000, incorporated by reference to Exhibit 10.23 to the Company’s Annual Report on Form 10-K for the year ended December 31, 2000 (the “2000 10-K”), SEC File No. 000-22333.</w:t>
      </w:r>
    </w:p>
    <w:p>
      <w:pPr>
        <w:spacing w:after="0" w:line="176"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color w:val="0000EE"/>
        </w:rPr>
        <w:tab/>
        <w:t>Lease Amendment effective October 1, 2005 between the Company and Centerpoint Properties Trust, incorporated by reference to Exhibit 99.1 to the Company’s Current Report on Form 8-K filed October 20, 2005, SEC File No. 000-22333.</w:t>
      </w:r>
    </w:p>
    <w:p>
      <w:pPr>
        <w:spacing w:after="0" w:line="162" w:lineRule="exact"/>
        <w:rPr>
          <w:sz w:val="20"/>
          <w:szCs w:val="20"/>
          <w:color w:val="auto"/>
        </w:rPr>
      </w:pPr>
    </w:p>
    <w:p>
      <w:pPr>
        <w:jc w:val="both"/>
        <w:ind w:left="660" w:hanging="647"/>
        <w:spacing w:after="0" w:line="266" w:lineRule="auto"/>
        <w:tabs>
          <w:tab w:leader="none" w:pos="640" w:val="left"/>
        </w:tabs>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color w:val="0000EE"/>
        </w:rPr>
        <w:tab/>
        <w:t>Second Amendment to Industrial Lease Agreement, dated as of November 13, 2014 between the Company and MLRP 1319 Marquette LLC, successor-in-interest to Centerpoint Properties Trust, incorporated by reference to Exhibit 10.4 to the Company’s Annual Report on Form 10- K for the year ended December 31, 2014.</w:t>
      </w:r>
    </w:p>
    <w:p>
      <w:pPr>
        <w:spacing w:after="0" w:line="176"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color w:val="0000EE"/>
        </w:rPr>
        <w:tab/>
        <w:t>Third Amendment to Industrial Lease Agreement, entered into on October 17, 2016 and effective October 1, 2016, by and between the Company and 1319 Marquette, LLC, incorporated by reference to Exhibit 10.1 to the Company’s Current Report on Form 8-K filed October 19, 2016.</w:t>
      </w:r>
    </w:p>
    <w:p>
      <w:pPr>
        <w:spacing w:after="0" w:line="162" w:lineRule="exact"/>
        <w:rPr>
          <w:sz w:val="20"/>
          <w:szCs w:val="20"/>
          <w:color w:val="auto"/>
        </w:rPr>
      </w:pPr>
    </w:p>
    <w:p>
      <w:pPr>
        <w:jc w:val="both"/>
        <w:ind w:left="660" w:hanging="647"/>
        <w:spacing w:after="0" w:line="266" w:lineRule="auto"/>
        <w:tabs>
          <w:tab w:leader="none" w:pos="640" w:val="left"/>
        </w:tabs>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color w:val="0000EE"/>
        </w:rPr>
        <w:tab/>
        <w:t>Mutual Cooperation Agreement entered into on January 17, 2012, by and among the Company, C.I. Kasei Co., Ltd. and CIK NanoTek Corporation, incorporated by reference to Exhibit 10.1 to the Company’s Current Report on Form 8-K filed January 20, 2012, SEC File No. 000-22333.</w:t>
      </w:r>
    </w:p>
    <w:p>
      <w:pPr>
        <w:spacing w:after="0" w:line="176"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color w:val="0000EE"/>
        </w:rPr>
        <w:tab/>
        <w:t>Trademark Ownership Assignment Agreement, dated March 31, 2012, between the Company and CIK NanoTek Corporation, incorporated by reference to Exhibit 10.1 to the Company’s Current Report on Form 8-K filed April 4, 2012, SEC File No 000-22333.</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u w:val="single" w:color="auto"/>
            <w:color w:val="0000EE"/>
          </w:rPr>
          <w:t>10.8</w:t>
        </w:r>
      </w:hyperlink>
      <w:r>
        <w:rPr>
          <w:rFonts w:ascii="Times New Roman" w:cs="Times New Roman" w:eastAsia="Times New Roman" w:hAnsi="Times New Roman"/>
          <w:sz w:val="18"/>
          <w:szCs w:val="18"/>
          <w:color w:val="0000EE"/>
        </w:rPr>
        <w:tab/>
        <w:t>Memorandum on the Payment of Royalty, dated March 31, 2012, between the Company and CIK NanoTek Corporation, incorporated by reference to Exhibit 10.2 to the Company’s Current Report on Form 8-K filed April 4, 2012, SEC File No 000-22333.</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10.9</w:t>
        </w:r>
      </w:hyperlink>
      <w:r>
        <w:rPr>
          <w:rFonts w:ascii="Times New Roman" w:cs="Times New Roman" w:eastAsia="Times New Roman" w:hAnsi="Times New Roman"/>
          <w:sz w:val="18"/>
          <w:szCs w:val="18"/>
          <w:color w:val="0000EE"/>
        </w:rPr>
        <w:tab/>
        <w:t>Supply Agreement between the Company and Schering-Plough HealthCare Products, Inc. dated as of March 15, 1997, incorporated by reference to Exhibit 10.17 to the Form S-1/A.</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u w:val="single" w:color="auto"/>
            <w:color w:val="0000EE"/>
          </w:rPr>
          <w:t>10.10*</w:t>
        </w:r>
      </w:hyperlink>
      <w:r>
        <w:rPr>
          <w:rFonts w:ascii="Times New Roman" w:cs="Times New Roman" w:eastAsia="Times New Roman" w:hAnsi="Times New Roman"/>
          <w:sz w:val="18"/>
          <w:szCs w:val="18"/>
          <w:color w:val="0000EE"/>
        </w:rPr>
        <w:tab/>
        <w:t>Zinc Oxide Supply Agreement dated as of September 16, 1999 between the Company and BASF Corporation, as assignee, incorporated by reference to Exhibit 10.22 to the Company’s Annual Report on Form 10-K for the year ended December 31, 1999, SEC File No. 000-22333.</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u w:val="single" w:color="auto"/>
            <w:color w:val="0000EE"/>
          </w:rPr>
          <w:t>10.11*</w:t>
        </w:r>
      </w:hyperlink>
      <w:r>
        <w:rPr>
          <w:rFonts w:ascii="Times New Roman" w:cs="Times New Roman" w:eastAsia="Times New Roman" w:hAnsi="Times New Roman"/>
          <w:sz w:val="18"/>
          <w:szCs w:val="18"/>
          <w:color w:val="0000EE"/>
        </w:rPr>
        <w:tab/>
        <w:t>Amendment No. 1 to Zinc Oxide Supply Agreement dated as of January, 2001 between the Company and BASF Corporation, incorporated by reference to Exhibit 10.24 to the 2000 10-K, SEC File No. 000-22333.</w:t>
      </w:r>
    </w:p>
    <w:p>
      <w:pPr>
        <w:spacing w:after="0" w:line="162" w:lineRule="exact"/>
        <w:rPr>
          <w:sz w:val="20"/>
          <w:szCs w:val="20"/>
          <w:color w:val="auto"/>
        </w:rPr>
      </w:pPr>
    </w:p>
    <w:p>
      <w:pPr>
        <w:jc w:val="both"/>
        <w:ind w:left="660" w:hanging="647"/>
        <w:spacing w:after="0" w:line="266" w:lineRule="auto"/>
        <w:tabs>
          <w:tab w:leader="none" w:pos="640" w:val="left"/>
        </w:tabs>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u w:val="single" w:color="auto"/>
            <w:color w:val="0000EE"/>
          </w:rPr>
          <w:t>10.12</w:t>
        </w:r>
      </w:hyperlink>
      <w:r>
        <w:rPr>
          <w:rFonts w:ascii="Times New Roman" w:cs="Times New Roman" w:eastAsia="Times New Roman" w:hAnsi="Times New Roman"/>
          <w:sz w:val="18"/>
          <w:szCs w:val="18"/>
          <w:color w:val="0000EE"/>
        </w:rPr>
        <w:tab/>
        <w:t>Amendment No. 2. to Zinc Oxide Supply Agreement dated as of March 17, 2003 between the Company and BASF Corporation, incorporated by reference to Exhibit 10.26 to the Company’s Annual Report on Form 10-K for the year ended December 31, 2002 (the “2002 10-K”), SEC File No. 000-22333.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u w:val="single" w:color="auto"/>
            <w:color w:val="0000EE"/>
          </w:rPr>
          <w:t>10.13*</w:t>
        </w:r>
      </w:hyperlink>
      <w:r>
        <w:rPr>
          <w:rFonts w:ascii="Times New Roman" w:cs="Times New Roman" w:eastAsia="Times New Roman" w:hAnsi="Times New Roman"/>
          <w:sz w:val="18"/>
          <w:szCs w:val="18"/>
          <w:color w:val="0000EE"/>
        </w:rPr>
        <w:tab/>
        <w:t>Amendment No. 3 to Zinc Oxide Supply Agreement entered into on December 12, 2012, between the Company and BASF Corporation, incorporated by reference to Exhibit 10.1 of the Company’s Current Report on Form 8-K filed December 6, 2012, SEC File No. 000-22333.</w:t>
      </w:r>
    </w:p>
    <w:p>
      <w:pPr>
        <w:spacing w:after="0" w:line="162" w:lineRule="exact"/>
        <w:rPr>
          <w:sz w:val="20"/>
          <w:szCs w:val="20"/>
          <w:color w:val="auto"/>
        </w:rPr>
      </w:pPr>
    </w:p>
    <w:p>
      <w:pPr>
        <w:jc w:val="both"/>
        <w:ind w:left="660" w:right="20" w:hanging="647"/>
        <w:spacing w:after="0" w:line="261" w:lineRule="auto"/>
        <w:tabs>
          <w:tab w:leader="none" w:pos="640" w:val="left"/>
        </w:tabs>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u w:val="single" w:color="auto"/>
            <w:color w:val="0000EE"/>
          </w:rPr>
          <w:t>10.14*</w:t>
        </w:r>
      </w:hyperlink>
      <w:r>
        <w:rPr>
          <w:rFonts w:ascii="Times New Roman" w:cs="Times New Roman" w:eastAsia="Times New Roman" w:hAnsi="Times New Roman"/>
          <w:sz w:val="18"/>
          <w:szCs w:val="18"/>
          <w:color w:val="0000EE"/>
        </w:rPr>
        <w:tab/>
        <w:t>Amendment No. 4 to Zinc Oxide Supply Agreement, dated as of January 1, 2019 and entered into on March 11, 2019, between the Company and BASF Corporation, incorporated by reference to Exhibit 10.1 of the Company’s Quarterly Report on Form 10-Q filed May 15, 2019.</w:t>
      </w:r>
    </w:p>
    <w:p>
      <w:pPr>
        <w:jc w:val="both"/>
        <w:ind w:left="660" w:hanging="647"/>
        <w:spacing w:after="0" w:line="260" w:lineRule="auto"/>
        <w:tabs>
          <w:tab w:leader="none" w:pos="640" w:val="left"/>
        </w:tabs>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u w:val="single" w:color="auto"/>
            <w:color w:val="0000EE"/>
          </w:rPr>
          <w:t>10.15*</w:t>
        </w:r>
      </w:hyperlink>
      <w:r>
        <w:rPr>
          <w:rFonts w:ascii="Times New Roman" w:cs="Times New Roman" w:eastAsia="Times New Roman" w:hAnsi="Times New Roman"/>
          <w:sz w:val="18"/>
          <w:szCs w:val="18"/>
          <w:color w:val="0000EE"/>
        </w:rPr>
        <w:tab/>
        <w:t>Amendment No. 5 effective as of April 10, 2024, to Zinc Oxide Supply Agreement, dated as of September 16, 1999, between the Company and BASF Corporation, incorporated by reference to Exhibit 10.1 of the Company’s Quarterly Report on Form 10-Q filed April 11, 2024.</w:t>
      </w:r>
    </w:p>
    <w:p>
      <w:pPr>
        <w:spacing w:after="0" w:line="181" w:lineRule="exact"/>
        <w:rPr>
          <w:sz w:val="20"/>
          <w:szCs w:val="20"/>
          <w:color w:val="auto"/>
        </w:rPr>
      </w:pPr>
    </w:p>
    <w:p>
      <w:pPr>
        <w:spacing w:after="0"/>
        <w:tabs>
          <w:tab w:leader="none" w:pos="640" w:val="left"/>
        </w:tabs>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u w:val="single" w:color="auto"/>
            <w:color w:val="0000EE"/>
          </w:rPr>
          <w:t>10.16</w:t>
        </w:r>
      </w:hyperlink>
      <w:r>
        <w:rPr>
          <w:rFonts w:ascii="Times New Roman" w:cs="Times New Roman" w:eastAsia="Times New Roman" w:hAnsi="Times New Roman"/>
          <w:sz w:val="18"/>
          <w:szCs w:val="18"/>
          <w:color w:val="0000EE"/>
        </w:rPr>
        <w:tab/>
        <w:t>Z-COTE HP-2 Brand Supply Agreement dated May 15, 2006 between the Company and BASF Corporation, incorporated by reference to Exhibit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99.1 to the Company’s Current Report on Form 8-K filed June 20, 2006, SEC File No. 000-22333.</w:t>
      </w:r>
    </w:p>
    <w:p>
      <w:pPr>
        <w:spacing w:after="0" w:line="207"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u w:val="single" w:color="auto"/>
            <w:color w:val="0000EE"/>
          </w:rPr>
          <w:t>10.17*</w:t>
        </w:r>
      </w:hyperlink>
      <w:r>
        <w:rPr>
          <w:rFonts w:ascii="Times New Roman" w:cs="Times New Roman" w:eastAsia="Times New Roman" w:hAnsi="Times New Roman"/>
          <w:sz w:val="18"/>
          <w:szCs w:val="18"/>
          <w:color w:val="0000EE"/>
        </w:rPr>
        <w:tab/>
        <w:t>Amended and Restated Cooperation Agreement dated August 25, 2006 between the Company and Rohm and Haas Electronic Materials CMP Inc., incorporated by reference to Exhibit 99.3 to the Company’s Current Report on Form 8-K filed August 28, 2006, SEC File No. 000- 22333.</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u w:val="single" w:color="auto"/>
            <w:color w:val="0000EE"/>
          </w:rPr>
          <w:t>10.18</w:t>
        </w:r>
      </w:hyperlink>
      <w:r>
        <w:rPr>
          <w:rFonts w:ascii="Times New Roman" w:cs="Times New Roman" w:eastAsia="Times New Roman" w:hAnsi="Times New Roman"/>
          <w:sz w:val="18"/>
          <w:szCs w:val="18"/>
          <w:color w:val="0000EE"/>
        </w:rPr>
        <w:tab/>
        <w:t>Supply Agreement effective as of March 23, 2009, between the Company and Rohm and Haas Electronic Materials CMP Inc., incorporated by reference to Exhibit 10.56 to the Company’s Annual Report on Form 10-K for the year ended December 31, 2008, SEC File No. 000-22333.</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u w:val="single" w:color="auto"/>
            <w:color w:val="0000EE"/>
          </w:rPr>
          <w:t>10.19*</w:t>
        </w:r>
      </w:hyperlink>
      <w:r>
        <w:rPr>
          <w:rFonts w:ascii="Times New Roman" w:cs="Times New Roman" w:eastAsia="Times New Roman" w:hAnsi="Times New Roman"/>
          <w:sz w:val="18"/>
          <w:szCs w:val="18"/>
          <w:color w:val="0000EE"/>
        </w:rPr>
        <w:tab/>
        <w:t>Distributor Agreement dated October 24, 2005 between Johnson Matthey Catalog Company, Inc., d/b/a ALFA AESAR and the Company, incorporated by reference to Exhibit 99.1 to the Company’s Current Report on Form 8-K filed November 1, 2005, SEC File No. 000-22333.</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u w:val="single" w:color="auto"/>
            <w:color w:val="0000EE"/>
          </w:rPr>
          <w:t>10.20*</w:t>
        </w:r>
      </w:hyperlink>
      <w:r>
        <w:rPr>
          <w:rFonts w:ascii="Times New Roman" w:cs="Times New Roman" w:eastAsia="Times New Roman" w:hAnsi="Times New Roman"/>
          <w:sz w:val="18"/>
          <w:szCs w:val="18"/>
          <w:color w:val="0000EE"/>
        </w:rPr>
        <w:tab/>
        <w:t>Supply Agreement dated March 3, 2006 between Roche Diagnostics GmbH and the Company, incorporated by reference to Exhibit 99.1 to the Company’s Current Report on Form 8-K filed March 9, 2006, SEC File No. 000-22333.</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u w:val="single" w:color="auto"/>
            <w:color w:val="0000EE"/>
          </w:rPr>
          <w:t>10.21*</w:t>
        </w:r>
      </w:hyperlink>
      <w:r>
        <w:rPr>
          <w:rFonts w:ascii="Times New Roman" w:cs="Times New Roman" w:eastAsia="Times New Roman" w:hAnsi="Times New Roman"/>
          <w:sz w:val="18"/>
          <w:szCs w:val="18"/>
          <w:color w:val="0000EE"/>
        </w:rPr>
        <w:tab/>
        <w:t>First Amendment to the Supply Agreement entered into on November 19, 2014 between the Company and Roche Diagnostics GmbH, incorporated by reference to Exhibit 10.1 to the Company’s Current Report on Form 8-K filed November 25, 2014.</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u w:val="single" w:color="auto"/>
            <w:color w:val="0000EE"/>
          </w:rPr>
          <w:t>10.22*</w:t>
        </w:r>
      </w:hyperlink>
      <w:r>
        <w:rPr>
          <w:rFonts w:ascii="Times New Roman" w:cs="Times New Roman" w:eastAsia="Times New Roman" w:hAnsi="Times New Roman"/>
          <w:sz w:val="18"/>
          <w:szCs w:val="18"/>
          <w:color w:val="0000EE"/>
        </w:rPr>
        <w:tab/>
        <w:t>Second Amendment to the Supply Agreement, entered into on November 21, 2016, between the Company and Roche Diagnostics GmbH, incorporated by reference to Exhibit 10.1 to the Company’s Current Report on Form 8-K filed November 28, 2016.</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7"/>
          <w:szCs w:val="17"/>
          <w:color w:val="auto"/>
        </w:rPr>
        <w:t>Third Amendment to the Supply Agreement, entered into on February 3, 2023, between the Company and Roche Diagnostics GmbH</w:t>
      </w:r>
    </w:p>
    <w:p>
      <w:pPr>
        <w:spacing w:after="0" w:line="225"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u w:val="single" w:color="auto"/>
            <w:color w:val="0000EE"/>
          </w:rPr>
          <w:t>10.24</w:t>
        </w:r>
      </w:hyperlink>
      <w:r>
        <w:rPr>
          <w:rFonts w:ascii="Times New Roman" w:cs="Times New Roman" w:eastAsia="Times New Roman" w:hAnsi="Times New Roman"/>
          <w:sz w:val="18"/>
          <w:szCs w:val="18"/>
          <w:color w:val="0000EE"/>
        </w:rPr>
        <w:tab/>
        <w:t>Joint Development Agreement dated March 23, 2004 between the Company and Altana Chemie AG, incorporated by reference to Exhibit 10.29 to the 2003 10-K, SEC File No. 000-22333.</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u w:val="single" w:color="auto"/>
            <w:color w:val="0000EE"/>
          </w:rPr>
          <w:t>10.25*</w:t>
        </w:r>
      </w:hyperlink>
      <w:r>
        <w:rPr>
          <w:rFonts w:ascii="Times New Roman" w:cs="Times New Roman" w:eastAsia="Times New Roman" w:hAnsi="Times New Roman"/>
          <w:sz w:val="18"/>
          <w:szCs w:val="18"/>
          <w:color w:val="0000EE"/>
        </w:rPr>
        <w:tab/>
        <w:t>Agreement dated July 7, 2008 between the Company and Altana Chemie GmbH, incorporated by reference to Exhibit 99.1 to the Company’s Current Report on Form 8-K filed July 18, 2008, SEC File No. 000-22333.</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u w:val="single" w:color="auto"/>
            <w:color w:val="0000EE"/>
          </w:rPr>
          <w:t>10.26*</w:t>
        </w:r>
      </w:hyperlink>
      <w:r>
        <w:rPr>
          <w:rFonts w:ascii="Times New Roman" w:cs="Times New Roman" w:eastAsia="Times New Roman" w:hAnsi="Times New Roman"/>
          <w:sz w:val="18"/>
          <w:szCs w:val="18"/>
          <w:color w:val="0000EE"/>
        </w:rPr>
        <w:tab/>
        <w:t>Settlement and Termination Agreement, dated August 20, 2010, between the Company and Altana Chemie GmbH, incorporated by reference to Exhibit 10.1 to the Company’s Current Report on Form 8-K filed August 25, 2010, SEC File No. 000-22333.</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u w:val="single" w:color="auto"/>
            <w:color w:val="0000EE"/>
          </w:rPr>
          <w:t>10.27*</w:t>
        </w:r>
      </w:hyperlink>
      <w:r>
        <w:rPr>
          <w:rFonts w:ascii="Times New Roman" w:cs="Times New Roman" w:eastAsia="Times New Roman" w:hAnsi="Times New Roman"/>
          <w:sz w:val="18"/>
          <w:szCs w:val="18"/>
          <w:color w:val="0000EE"/>
        </w:rPr>
        <w:tab/>
        <w:t>Supply Agreement, dated as of March 31, 2016, between the Company and Ester Solutions Company, incorporated by reference to Exhibit 10.1 to the Company’s Current Report on Form 8-K filed April 6, 2016.</w:t>
      </w:r>
    </w:p>
    <w:p>
      <w:pPr>
        <w:spacing w:after="0" w:line="162" w:lineRule="exact"/>
        <w:rPr>
          <w:sz w:val="20"/>
          <w:szCs w:val="20"/>
          <w:color w:val="auto"/>
        </w:rPr>
      </w:pPr>
    </w:p>
    <w:p>
      <w:pPr>
        <w:jc w:val="both"/>
        <w:ind w:left="660" w:hanging="647"/>
        <w:spacing w:after="0" w:line="266" w:lineRule="auto"/>
        <w:tabs>
          <w:tab w:leader="none" w:pos="640" w:val="left"/>
        </w:tabs>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u w:val="single" w:color="auto"/>
            <w:color w:val="0000EE"/>
          </w:rPr>
          <w:t>10.28</w:t>
        </w:r>
      </w:hyperlink>
      <w:r>
        <w:rPr>
          <w:rFonts w:ascii="Times New Roman" w:cs="Times New Roman" w:eastAsia="Times New Roman" w:hAnsi="Times New Roman"/>
          <w:sz w:val="18"/>
          <w:szCs w:val="18"/>
          <w:color w:val="0000EE"/>
        </w:rPr>
        <w:tab/>
        <w:t>First Amendment to Supply Agreement, dated May 21, 2018, by and between Nanophase Technologies Corporation and Hallstar Ester Solutions Corporation (formerly known as Ester Solutions Company), incorporated by reference to Exhibit 10.1 to the Company’s Current Report on Form 8-K filed May 25, 2018.</w:t>
      </w:r>
    </w:p>
    <w:p>
      <w:pPr>
        <w:spacing w:after="0" w:line="176"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u w:val="single" w:color="auto"/>
            <w:color w:val="0000EE"/>
          </w:rPr>
          <w:t>10.29</w:t>
        </w:r>
      </w:hyperlink>
      <w:r>
        <w:rPr>
          <w:rFonts w:ascii="Times New Roman" w:cs="Times New Roman" w:eastAsia="Times New Roman" w:hAnsi="Times New Roman"/>
          <w:sz w:val="18"/>
          <w:szCs w:val="18"/>
          <w:color w:val="0000EE"/>
        </w:rPr>
        <w:tab/>
        <w:t>Joint Development Agreement, dated as of July 31, 2019, between the Company and Sumitomo Corporation of Americas, incorporated by reference to Exhibit 10.1 to the Company’s Current Report on Form 8-K filed August 2, 2019.</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u w:val="single" w:color="auto"/>
            <w:color w:val="0000EE"/>
          </w:rPr>
          <w:t>10.30</w:t>
        </w:r>
      </w:hyperlink>
      <w:r>
        <w:rPr>
          <w:rFonts w:ascii="Times New Roman" w:cs="Times New Roman" w:eastAsia="Times New Roman" w:hAnsi="Times New Roman"/>
          <w:sz w:val="18"/>
          <w:szCs w:val="18"/>
          <w:color w:val="0000EE"/>
        </w:rPr>
        <w:tab/>
        <w:t>Joint Development &amp; Supply Agreement, dated December 12, 2016, by and between Solésence, LLC and Colorescience Inc., incorporated by reference to Exhibit 10.1 to the Company’s Current Report on Form 8-K filed May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hanging="647"/>
        <w:spacing w:after="0" w:line="282" w:lineRule="auto"/>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u w:val="single" w:color="auto"/>
            <w:color w:val="0000EE"/>
          </w:rPr>
          <w:t>10.31</w:t>
        </w:r>
      </w:hyperlink>
      <w:r>
        <w:rPr>
          <w:rFonts w:ascii="Times New Roman" w:cs="Times New Roman" w:eastAsia="Times New Roman" w:hAnsi="Times New Roman"/>
          <w:sz w:val="18"/>
          <w:szCs w:val="18"/>
          <w:color w:val="0000EE"/>
        </w:rPr>
        <w:t xml:space="preserve"> Amended and Restated Joint Development &amp; Supply Agreement, executed by Solésence, LLC on May 18, 2018, by and between Solésence, LLC and Colorescience Inc., incorporated by reference to Exhibit 10.1 to the Company’s Current Report on Form 8-K filed May 24, 2018.</w:t>
      </w:r>
    </w:p>
    <w:p>
      <w:pPr>
        <w:spacing w:after="0" w:line="162" w:lineRule="exact"/>
        <w:rPr>
          <w:sz w:val="20"/>
          <w:szCs w:val="20"/>
          <w:color w:val="auto"/>
        </w:rPr>
      </w:pPr>
    </w:p>
    <w:p>
      <w:pPr>
        <w:ind w:hanging="602"/>
        <w:spacing w:after="0" w:line="282" w:lineRule="auto"/>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u w:val="single" w:color="auto"/>
            <w:color w:val="0000EE"/>
          </w:rPr>
          <w:t>10.32</w:t>
        </w:r>
      </w:hyperlink>
      <w:r>
        <w:rPr>
          <w:rFonts w:ascii="Times New Roman" w:cs="Times New Roman" w:eastAsia="Times New Roman" w:hAnsi="Times New Roman"/>
          <w:sz w:val="18"/>
          <w:szCs w:val="18"/>
          <w:color w:val="0000EE"/>
        </w:rPr>
        <w:t xml:space="preserve"> Promissory Note, dated March 4, 2015, granted by the Company in favor of Libertyville Bank and Trust Company, incorporated by reference to Exhibit 10.2 to the Company’s Current Report on Form 8-K filed March 10, 2015.</w:t>
      </w:r>
    </w:p>
    <w:p>
      <w:pPr>
        <w:spacing w:after="0" w:line="162" w:lineRule="exact"/>
        <w:rPr>
          <w:sz w:val="20"/>
          <w:szCs w:val="20"/>
          <w:color w:val="auto"/>
        </w:rPr>
      </w:pPr>
    </w:p>
    <w:p>
      <w:pPr>
        <w:jc w:val="both"/>
        <w:ind w:hanging="647"/>
        <w:spacing w:after="0" w:line="282" w:lineRule="auto"/>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u w:val="single" w:color="auto"/>
            <w:color w:val="0000EE"/>
          </w:rPr>
          <w:t>10.33</w:t>
        </w:r>
      </w:hyperlink>
      <w:r>
        <w:rPr>
          <w:rFonts w:ascii="Times New Roman" w:cs="Times New Roman" w:eastAsia="Times New Roman" w:hAnsi="Times New Roman"/>
          <w:sz w:val="18"/>
          <w:szCs w:val="18"/>
          <w:color w:val="0000EE"/>
        </w:rPr>
        <w:t xml:space="preserve"> Commercial Security Agreement, dated March 4, 2015, between the Company and Libertyville Bank and Trust Company, incorporated by reference to Exhibit 10.3 to the Company’s Current Report on Form 8-K filed March 10, 2015.</w:t>
      </w:r>
    </w:p>
    <w:p>
      <w:pPr>
        <w:spacing w:after="0" w:line="162" w:lineRule="exact"/>
        <w:rPr>
          <w:sz w:val="20"/>
          <w:szCs w:val="20"/>
          <w:color w:val="auto"/>
        </w:rPr>
      </w:pPr>
    </w:p>
    <w:p>
      <w:pPr>
        <w:jc w:val="both"/>
        <w:ind w:hanging="647"/>
        <w:spacing w:after="0" w:line="282" w:lineRule="auto"/>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u w:val="single" w:color="auto"/>
            <w:color w:val="0000EE"/>
          </w:rPr>
          <w:t>10.34</w:t>
        </w:r>
      </w:hyperlink>
      <w:r>
        <w:rPr>
          <w:rFonts w:ascii="Times New Roman" w:cs="Times New Roman" w:eastAsia="Times New Roman" w:hAnsi="Times New Roman"/>
          <w:sz w:val="18"/>
          <w:szCs w:val="18"/>
          <w:color w:val="0000EE"/>
        </w:rPr>
        <w:t xml:space="preserve"> Change in Terms Agreement, dated March 4, 2016, between the Company and Libertyville Bank and Trust Company, incorporated by reference to Exhibit 10.2 of the Current Report on Form 8-K filed March 10, 2016.</w:t>
      </w:r>
    </w:p>
    <w:p>
      <w:pPr>
        <w:spacing w:after="0" w:line="162" w:lineRule="exact"/>
        <w:rPr>
          <w:sz w:val="20"/>
          <w:szCs w:val="20"/>
          <w:color w:val="auto"/>
        </w:rPr>
      </w:pPr>
    </w:p>
    <w:p>
      <w:pPr>
        <w:jc w:val="both"/>
        <w:ind w:right="20" w:hanging="647"/>
        <w:spacing w:after="0" w:line="282" w:lineRule="auto"/>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u w:val="single" w:color="auto"/>
            <w:color w:val="0000EE"/>
          </w:rPr>
          <w:t>10.35</w:t>
        </w:r>
      </w:hyperlink>
      <w:r>
        <w:rPr>
          <w:rFonts w:ascii="Times New Roman" w:cs="Times New Roman" w:eastAsia="Times New Roman" w:hAnsi="Times New Roman"/>
          <w:sz w:val="18"/>
          <w:szCs w:val="18"/>
          <w:color w:val="0000EE"/>
        </w:rPr>
        <w:t xml:space="preserve"> Change in Terms Agreement, dated February 14, 2017, between the Company and Libertyville Bank and Trust Company, incorporated by reference to Exhibit 10.32 to the Company’s Annual Report on Form 10-K for the year ended December 31, 2016.</w:t>
      </w:r>
    </w:p>
    <w:p>
      <w:pPr>
        <w:spacing w:after="0" w:line="162" w:lineRule="exact"/>
        <w:rPr>
          <w:sz w:val="20"/>
          <w:szCs w:val="20"/>
          <w:color w:val="auto"/>
        </w:rPr>
      </w:pPr>
    </w:p>
    <w:p>
      <w:pPr>
        <w:jc w:val="both"/>
        <w:ind w:hanging="647"/>
        <w:spacing w:after="0" w:line="282" w:lineRule="auto"/>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u w:val="single" w:color="auto"/>
            <w:color w:val="0000EE"/>
          </w:rPr>
          <w:t>10.36</w:t>
        </w:r>
      </w:hyperlink>
      <w:r>
        <w:rPr>
          <w:rFonts w:ascii="Times New Roman" w:cs="Times New Roman" w:eastAsia="Times New Roman" w:hAnsi="Times New Roman"/>
          <w:sz w:val="18"/>
          <w:szCs w:val="18"/>
          <w:color w:val="0000EE"/>
        </w:rPr>
        <w:t xml:space="preserve"> Promissory Note, executed by the Company on March 26, 2018, granted by the Company in favor of Libertyville Bank and Trust Company, incorporated by reference to Exhibit 10.34 to the Company’s Annual Report on Form 10-K for the year ended December 31, 2017.</w:t>
      </w:r>
    </w:p>
    <w:p>
      <w:pPr>
        <w:spacing w:after="0" w:line="162" w:lineRule="exact"/>
        <w:rPr>
          <w:sz w:val="20"/>
          <w:szCs w:val="20"/>
          <w:color w:val="auto"/>
        </w:rPr>
      </w:pPr>
    </w:p>
    <w:p>
      <w:pPr>
        <w:jc w:val="both"/>
        <w:ind w:hanging="647"/>
        <w:spacing w:after="0" w:line="282" w:lineRule="auto"/>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u w:val="single" w:color="auto"/>
            <w:color w:val="0000EE"/>
          </w:rPr>
          <w:t>10.37</w:t>
        </w:r>
      </w:hyperlink>
      <w:r>
        <w:rPr>
          <w:rFonts w:ascii="Times New Roman" w:cs="Times New Roman" w:eastAsia="Times New Roman" w:hAnsi="Times New Roman"/>
          <w:sz w:val="18"/>
          <w:szCs w:val="18"/>
          <w:color w:val="0000EE"/>
        </w:rPr>
        <w:t xml:space="preserve"> Commercial Security Agreement, executed by the Company on March 26, 2018, between the Company and Libertyville Bank and Trust Company, incorporated by reference to Exhibit 10.35 to the Company’s Annual Report on Form 10-K for the year ended December 31, 2017.</w:t>
      </w:r>
    </w:p>
    <w:p>
      <w:pPr>
        <w:spacing w:after="0" w:line="162" w:lineRule="exact"/>
        <w:rPr>
          <w:sz w:val="20"/>
          <w:szCs w:val="20"/>
          <w:color w:val="auto"/>
        </w:rPr>
      </w:pPr>
    </w:p>
    <w:p>
      <w:pPr>
        <w:jc w:val="both"/>
        <w:ind w:right="20" w:hanging="647"/>
        <w:spacing w:after="0" w:line="282" w:lineRule="auto"/>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u w:val="single" w:color="auto"/>
            <w:color w:val="0000EE"/>
          </w:rPr>
          <w:t>10.38</w:t>
        </w:r>
      </w:hyperlink>
      <w:r>
        <w:rPr>
          <w:rFonts w:ascii="Times New Roman" w:cs="Times New Roman" w:eastAsia="Times New Roman" w:hAnsi="Times New Roman"/>
          <w:sz w:val="18"/>
          <w:szCs w:val="18"/>
          <w:color w:val="0000EE"/>
        </w:rPr>
        <w:t xml:space="preserve"> Business Loan Agreement, executed by the Company on March 22, 2019, between the Company and Libertyville Bank and Trust Company, incorporated by reference to the Exhibit 10.32 of the Company’s Annual Report on Form 10-K for the year ended December 31, 2018.</w:t>
      </w:r>
    </w:p>
    <w:p>
      <w:pPr>
        <w:spacing w:after="0" w:line="162" w:lineRule="exact"/>
        <w:rPr>
          <w:sz w:val="20"/>
          <w:szCs w:val="20"/>
          <w:color w:val="auto"/>
        </w:rPr>
      </w:pPr>
    </w:p>
    <w:p>
      <w:pPr>
        <w:jc w:val="both"/>
        <w:ind w:hanging="647"/>
        <w:spacing w:after="0" w:line="282" w:lineRule="auto"/>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u w:val="single" w:color="auto"/>
            <w:color w:val="0000EE"/>
          </w:rPr>
          <w:t>10.39</w:t>
        </w:r>
      </w:hyperlink>
      <w:r>
        <w:rPr>
          <w:rFonts w:ascii="Times New Roman" w:cs="Times New Roman" w:eastAsia="Times New Roman" w:hAnsi="Times New Roman"/>
          <w:sz w:val="18"/>
          <w:szCs w:val="18"/>
          <w:color w:val="0000EE"/>
        </w:rPr>
        <w:t xml:space="preserve"> Change in Terms Agreement, executed by the Company on March 22, 2019, between the Company and Libertyville Bank and Trust Company, incorporated by reference to the Exhibit 10.33 of the Company’s Annual Report on Form 10-K for the year ended December 31, 2018.</w:t>
      </w:r>
    </w:p>
    <w:p>
      <w:pPr>
        <w:spacing w:after="0" w:line="162" w:lineRule="exact"/>
        <w:rPr>
          <w:sz w:val="20"/>
          <w:szCs w:val="20"/>
          <w:color w:val="auto"/>
        </w:rPr>
      </w:pPr>
    </w:p>
    <w:p>
      <w:pPr>
        <w:jc w:val="both"/>
        <w:ind w:right="20" w:hanging="647"/>
        <w:spacing w:after="0" w:line="282" w:lineRule="auto"/>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u w:val="single" w:color="auto"/>
            <w:color w:val="0000EE"/>
          </w:rPr>
          <w:t>10.40</w:t>
        </w:r>
      </w:hyperlink>
      <w:r>
        <w:rPr>
          <w:rFonts w:ascii="Times New Roman" w:cs="Times New Roman" w:eastAsia="Times New Roman" w:hAnsi="Times New Roman"/>
          <w:sz w:val="18"/>
          <w:szCs w:val="18"/>
          <w:color w:val="0000EE"/>
        </w:rPr>
        <w:t xml:space="preserve"> Business Loan Agreement, dated November 16, 2018, between the Company and Beachcorp, LLC, incorporated by reference to the Company’s Quarterly Report on Form 10-Q filed November 19, 2018.</w:t>
      </w:r>
    </w:p>
    <w:p>
      <w:pPr>
        <w:spacing w:after="0" w:line="162" w:lineRule="exact"/>
        <w:rPr>
          <w:sz w:val="20"/>
          <w:szCs w:val="20"/>
          <w:color w:val="auto"/>
        </w:rPr>
      </w:pPr>
    </w:p>
    <w:p>
      <w:pPr>
        <w:jc w:val="both"/>
        <w:ind w:hanging="647"/>
        <w:spacing w:after="0" w:line="266" w:lineRule="auto"/>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u w:val="single" w:color="auto"/>
            <w:color w:val="0000EE"/>
          </w:rPr>
          <w:t>10.41</w:t>
        </w:r>
      </w:hyperlink>
      <w:r>
        <w:rPr>
          <w:rFonts w:ascii="Times New Roman" w:cs="Times New Roman" w:eastAsia="Times New Roman" w:hAnsi="Times New Roman"/>
          <w:sz w:val="18"/>
          <w:szCs w:val="18"/>
          <w:color w:val="0000EE"/>
        </w:rPr>
        <w:t xml:space="preserve"> Promissory Note, dated November 19, 2018, made by the Company and payable to the order of Beachcorp, LLC to evidence a term loan in the original principal amount of up to $500,000, incorporated by reference to the Company’s Quarterly Report on Form 10-Q filed November 19, 2018.</w:t>
      </w:r>
    </w:p>
    <w:p>
      <w:pPr>
        <w:spacing w:after="0" w:line="176" w:lineRule="exact"/>
        <w:rPr>
          <w:sz w:val="20"/>
          <w:szCs w:val="20"/>
          <w:color w:val="auto"/>
        </w:rPr>
      </w:pPr>
    </w:p>
    <w:p>
      <w:pPr>
        <w:jc w:val="both"/>
        <w:ind w:hanging="647"/>
        <w:spacing w:after="0" w:line="312" w:lineRule="auto"/>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u w:val="single" w:color="auto"/>
            <w:color w:val="0000EE"/>
          </w:rPr>
          <w:t>10.42</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7"/>
          <w:szCs w:val="17"/>
          <w:color w:val="0000EE"/>
        </w:rPr>
        <w:t>Promissory Note, dated November 19, 2018, made by the Company and payable to the order of Beachcorp, LLC to evidence revolving borrowings in a principal amount of up to $2,000,000, incorporated by reference to the Company’s Quarterly Report on Form 10-Q filed November 19, 2018.</w:t>
      </w:r>
    </w:p>
    <w:p>
      <w:pPr>
        <w:spacing w:after="0" w:line="140" w:lineRule="exact"/>
        <w:rPr>
          <w:sz w:val="20"/>
          <w:szCs w:val="20"/>
          <w:color w:val="auto"/>
        </w:rPr>
      </w:pPr>
    </w:p>
    <w:p>
      <w:pPr>
        <w:jc w:val="both"/>
        <w:ind w:hanging="647"/>
        <w:spacing w:after="0" w:line="282" w:lineRule="auto"/>
        <w:rPr>
          <w:sz w:val="20"/>
          <w:szCs w:val="20"/>
          <w:color w:val="auto"/>
        </w:rPr>
      </w:pPr>
      <w:r>
        <w:rPr>
          <w:rFonts w:ascii="Times New Roman" w:cs="Times New Roman" w:eastAsia="Times New Roman" w:hAnsi="Times New Roman"/>
          <w:sz w:val="18"/>
          <w:szCs w:val="18"/>
          <w:color w:val="auto"/>
        </w:rPr>
        <w:t>10.43</w:t>
      </w:r>
      <w:r>
        <w:rPr>
          <w:sz w:val="20"/>
          <w:szCs w:val="20"/>
          <w:color w:val="auto"/>
        </w:rPr>
        <w:t xml:space="preserve"> </w:t>
      </w:r>
      <w:r>
        <w:rPr>
          <w:rFonts w:ascii="Times New Roman" w:cs="Times New Roman" w:eastAsia="Times New Roman" w:hAnsi="Times New Roman"/>
          <w:sz w:val="18"/>
          <w:szCs w:val="18"/>
          <w:color w:val="auto"/>
        </w:rPr>
        <w:t>First Amendment to Business Loan Agreement, dated March 23, 2020, between the Company and Beachcorp, LLC, incorporated by reference to the Company’s Annual Report on Form 10-K filed March 30, 2020.</w:t>
      </w:r>
    </w:p>
    <w:p>
      <w:pPr>
        <w:spacing w:after="0" w:line="162" w:lineRule="exact"/>
        <w:rPr>
          <w:sz w:val="20"/>
          <w:szCs w:val="20"/>
          <w:color w:val="auto"/>
        </w:rPr>
      </w:pPr>
    </w:p>
    <w:p>
      <w:pPr>
        <w:jc w:val="both"/>
        <w:ind w:hanging="647"/>
        <w:spacing w:after="0" w:line="282" w:lineRule="auto"/>
        <w:rPr>
          <w:sz w:val="20"/>
          <w:szCs w:val="20"/>
          <w:color w:val="auto"/>
        </w:rPr>
      </w:pPr>
      <w:r>
        <w:rPr>
          <w:rFonts w:ascii="Times New Roman" w:cs="Times New Roman" w:eastAsia="Times New Roman" w:hAnsi="Times New Roman"/>
          <w:sz w:val="18"/>
          <w:szCs w:val="18"/>
          <w:color w:val="auto"/>
        </w:rPr>
        <w:t>10.44</w:t>
      </w:r>
      <w:r>
        <w:rPr>
          <w:sz w:val="20"/>
          <w:szCs w:val="20"/>
          <w:color w:val="auto"/>
        </w:rPr>
        <w:t xml:space="preserve"> </w:t>
      </w:r>
      <w:r>
        <w:rPr>
          <w:rFonts w:ascii="Times New Roman" w:cs="Times New Roman" w:eastAsia="Times New Roman" w:hAnsi="Times New Roman"/>
          <w:sz w:val="18"/>
          <w:szCs w:val="18"/>
          <w:color w:val="auto"/>
        </w:rPr>
        <w:t>Fourth Amendment to Business Loan Agreement, dated April 21, 2021, between the Company and Beachcorp, LLC, incorporated by reference to Exhibit 10.1 to the Company’s Current Report on Form 8-K filed April 21, 2021.</w:t>
      </w:r>
    </w:p>
    <w:p>
      <w:pPr>
        <w:spacing w:after="0" w:line="162" w:lineRule="exact"/>
        <w:rPr>
          <w:sz w:val="20"/>
          <w:szCs w:val="20"/>
          <w:color w:val="auto"/>
        </w:rPr>
      </w:pPr>
    </w:p>
    <w:p>
      <w:pPr>
        <w:jc w:val="both"/>
        <w:ind w:hanging="647"/>
        <w:spacing w:after="0" w:line="282" w:lineRule="auto"/>
        <w:rPr>
          <w:sz w:val="20"/>
          <w:szCs w:val="20"/>
          <w:color w:val="auto"/>
        </w:rPr>
      </w:pPr>
      <w:r>
        <w:rPr>
          <w:rFonts w:ascii="Times New Roman" w:cs="Times New Roman" w:eastAsia="Times New Roman" w:hAnsi="Times New Roman"/>
          <w:sz w:val="18"/>
          <w:szCs w:val="18"/>
          <w:color w:val="auto"/>
        </w:rPr>
        <w:t>10.45</w:t>
      </w:r>
      <w:r>
        <w:rPr>
          <w:sz w:val="20"/>
          <w:szCs w:val="20"/>
          <w:color w:val="auto"/>
        </w:rPr>
        <w:t xml:space="preserve"> </w:t>
      </w:r>
      <w:r>
        <w:rPr>
          <w:rFonts w:ascii="Times New Roman" w:cs="Times New Roman" w:eastAsia="Times New Roman" w:hAnsi="Times New Roman"/>
          <w:sz w:val="18"/>
          <w:szCs w:val="18"/>
          <w:color w:val="auto"/>
        </w:rPr>
        <w:t>Business Loan Agreement, dated January 28, 2022, between the Company and Beachcorp, LLC, incorporated by reference to Exhibit 10.1 to the Company’s Current Report on Form 8-K filed February 2, 2022.</w:t>
      </w:r>
    </w:p>
    <w:p>
      <w:pPr>
        <w:spacing w:after="0" w:line="162" w:lineRule="exact"/>
        <w:rPr>
          <w:sz w:val="20"/>
          <w:szCs w:val="20"/>
          <w:color w:val="auto"/>
        </w:rPr>
      </w:pPr>
    </w:p>
    <w:p>
      <w:pPr>
        <w:jc w:val="both"/>
        <w:ind w:hanging="647"/>
        <w:spacing w:after="0" w:line="282" w:lineRule="auto"/>
        <w:rPr>
          <w:sz w:val="20"/>
          <w:szCs w:val="20"/>
          <w:color w:val="auto"/>
        </w:rPr>
      </w:pPr>
      <w:r>
        <w:rPr>
          <w:rFonts w:ascii="Times New Roman" w:cs="Times New Roman" w:eastAsia="Times New Roman" w:hAnsi="Times New Roman"/>
          <w:sz w:val="18"/>
          <w:szCs w:val="18"/>
          <w:color w:val="auto"/>
        </w:rPr>
        <w:t>10.46</w:t>
      </w:r>
      <w:r>
        <w:rPr>
          <w:sz w:val="20"/>
          <w:szCs w:val="20"/>
          <w:color w:val="auto"/>
        </w:rPr>
        <w:t xml:space="preserve"> </w:t>
      </w:r>
      <w:r>
        <w:rPr>
          <w:rFonts w:ascii="Times New Roman" w:cs="Times New Roman" w:eastAsia="Times New Roman" w:hAnsi="Times New Roman"/>
          <w:sz w:val="18"/>
          <w:szCs w:val="18"/>
          <w:color w:val="auto"/>
        </w:rPr>
        <w:t>Business Loan Agreement, dated January 28, 2022, between the Company and Strandler, LLC, incorporated by reference to Exhibit 10.2 to the Company’s Current Report on Form 8-K filed February 2, 2022.</w:t>
      </w:r>
    </w:p>
    <w:p>
      <w:pPr>
        <w:spacing w:after="0" w:line="162" w:lineRule="exact"/>
        <w:rPr>
          <w:sz w:val="20"/>
          <w:szCs w:val="20"/>
          <w:color w:val="auto"/>
        </w:rPr>
      </w:pPr>
    </w:p>
    <w:p>
      <w:pPr>
        <w:jc w:val="both"/>
        <w:ind w:right="20" w:hanging="647"/>
        <w:spacing w:after="0" w:line="282" w:lineRule="auto"/>
        <w:rPr>
          <w:sz w:val="20"/>
          <w:szCs w:val="20"/>
          <w:color w:val="auto"/>
        </w:rPr>
      </w:pPr>
      <w:r>
        <w:rPr>
          <w:rFonts w:ascii="Times New Roman" w:cs="Times New Roman" w:eastAsia="Times New Roman" w:hAnsi="Times New Roman"/>
          <w:sz w:val="18"/>
          <w:szCs w:val="18"/>
          <w:color w:val="auto"/>
        </w:rPr>
        <w:t>10.47</w:t>
      </w:r>
      <w:r>
        <w:rPr>
          <w:sz w:val="20"/>
          <w:szCs w:val="20"/>
          <w:color w:val="auto"/>
        </w:rPr>
        <w:t xml:space="preserve"> </w:t>
      </w:r>
      <w:r>
        <w:rPr>
          <w:rFonts w:ascii="Times New Roman" w:cs="Times New Roman" w:eastAsia="Times New Roman" w:hAnsi="Times New Roman"/>
          <w:sz w:val="18"/>
          <w:szCs w:val="18"/>
          <w:color w:val="auto"/>
        </w:rPr>
        <w:t>Amended and Restated Business Loan Agreement, dated January 28, 2022, between the Company and Beachcorp, LLC, incorporated by reference to Exhibit 10.3 to the Company’s Current Report on Form 8-K filed February 2, 2022.</w:t>
      </w:r>
    </w:p>
    <w:p>
      <w:pPr>
        <w:spacing w:after="0" w:line="162" w:lineRule="exact"/>
        <w:rPr>
          <w:sz w:val="20"/>
          <w:szCs w:val="20"/>
          <w:color w:val="auto"/>
        </w:rPr>
      </w:pPr>
    </w:p>
    <w:p>
      <w:pPr>
        <w:jc w:val="both"/>
        <w:ind w:hanging="647"/>
        <w:spacing w:after="0" w:line="266" w:lineRule="auto"/>
        <w:rPr>
          <w:sz w:val="20"/>
          <w:szCs w:val="20"/>
          <w:color w:val="auto"/>
        </w:rPr>
      </w:pPr>
      <w:r>
        <w:rPr>
          <w:rFonts w:ascii="Times New Roman" w:cs="Times New Roman" w:eastAsia="Times New Roman" w:hAnsi="Times New Roman"/>
          <w:sz w:val="18"/>
          <w:szCs w:val="18"/>
          <w:color w:val="auto"/>
        </w:rPr>
        <w:t>10.48</w:t>
      </w:r>
      <w:r>
        <w:rPr>
          <w:sz w:val="20"/>
          <w:szCs w:val="20"/>
          <w:color w:val="auto"/>
        </w:rPr>
        <w:t xml:space="preserve"> </w:t>
      </w:r>
      <w:r>
        <w:rPr>
          <w:rFonts w:ascii="Times New Roman" w:cs="Times New Roman" w:eastAsia="Times New Roman" w:hAnsi="Times New Roman"/>
          <w:sz w:val="18"/>
          <w:szCs w:val="18"/>
          <w:color w:val="auto"/>
        </w:rPr>
        <w:t>Replacement Promissory Note, dated January 28, 2022, made by the Company and payable to the order of Beachcorp, LLC to evidence revolving borrowings in a principal amount of up to $8,000,000, incorporated by reference to Exhibit 10.4 to the Company’s Current Report on Form 8-K filed February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294640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7" w:name="page8"/>
    <w:bookmarkEnd w:id="7"/>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10.49</w:t>
        <w:tab/>
        <w:t>Promissory Note, dated January 28, 2022, made by the Company and payable to the order of Strandler, LLC to evidence a term loan in the original principal amount of up to $1,000,000, incorporated by reference to Exhibit 10.5 to the Company’s Current Report on Form 8-K filed February 2, 2022.</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10.50</w:t>
        <w:tab/>
        <w:t>Promissory Note, dated January 28, 2022, made by the Company and payable to the order of Beachcorp, LLC to evidence revolving borrowings in a principal amount of up to $4,000,000, incorporated by reference to Exhibit 10.6 to the Company’s Current Report on Form 8-K filed February 2, 2022.</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10.51</w:t>
        <w:tab/>
        <w:t>First Amendment to Amended and Restated Business Loan Agreement with Beachcorp, LLC, incorporated by reference to Exhibit 10.1 to the Company’s Quarterly Report on Form 10-Q for the quarter ended September 30, 2023, SEC File No. 000-22333.</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10.52</w:t>
        <w:tab/>
        <w:t>Replacement Promissory Note with Beachcorp,LLC, incorporated by reference to Exhibit 10.2 to the Company’s Quarterly Report on Form 10-Q for the quarter ended September 30, 2023, SEC File No. 000-22333.</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10.53</w:t>
        <w:tab/>
        <w:t>First Amendment to Business Loan Agreement with Beachcorp, LLC, incorporated by reference to Exhibit 10.3 to the Company’s Quarterly Report on Form 10-Q for the quarter ended September 30, 2023, SEC File No. 000-22333.</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10.54</w:t>
        <w:tab/>
        <w:t>First Amendment to Business Loan Agreement with Strandler, LLC, incorporated by reference to Exhibit 10.4 to the Company’s Quarterly Report on Form 10-Q for the quarter ended September 30, 2023, SEC File No. 000-22333.</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10.55</w:t>
        <w:tab/>
        <w:t>Promissory Note with Strandler, LLC, incorporated by reference to Exhibit 10.5 to the Company’s Quarterly Report on Form 10-Q for the quarter ended September 30, 2023, SEC File No. 000-22333.</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10.56</w:t>
        <w:tab/>
        <w:t>Securities Purchase Agreement with Strandler, LLC, incorporated by reference to Exhibit 10.1 to the Company’s Current Report on Form 8-K filed March 5, 2024, SEC File No. 000-22333.</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10.57</w:t>
        <w:tab/>
        <w:t>Second Amendment to Business Loan Agreement with Strandler, LLC, incorporated by reference to Exhibit 10.2 to the Company’s Current Report on Form 8-K filed March 5, 2024, SEC File No. 000-22333.</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10.58</w:t>
        <w:tab/>
        <w:t>Second Amendment to Amended and Restated Business Loan Agreement with Beachcorp, LLC, incorporated by reference to Exhibit 10.3 to the Company’s Current Report on Form 8-K filed March 5, 2024, SEC File No. 000-22333.</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10.59</w:t>
        <w:tab/>
        <w:t>Second Admendment to Business Loan Agreement with Beachcorp, LLC, incorporated by reference to Exhibit 10.4 to the Company’s Current Report on Form 8-K filed March 5, 2024, SEC File No. 000-22333.</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u w:val="single" w:color="auto"/>
            <w:color w:val="0000EE"/>
          </w:rPr>
          <w:t>10.60</w:t>
        </w:r>
      </w:hyperlink>
      <w:r>
        <w:rPr>
          <w:rFonts w:ascii="Times New Roman" w:cs="Times New Roman" w:eastAsia="Times New Roman" w:hAnsi="Times New Roman"/>
          <w:sz w:val="18"/>
          <w:szCs w:val="18"/>
          <w:color w:val="0000EE"/>
        </w:rPr>
        <w:tab/>
        <w:t>Employment Agreement effective August 12, 2009 between the Company and Jess Jankowski, incorporated by reference to Exhibit 10.3 to the Company’s Quarterly Report on Form 10-Q for the quarter ended June 30, 2009, SEC File No. 000-22333. +</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u w:val="single" w:color="auto"/>
            <w:color w:val="0000EE"/>
          </w:rPr>
          <w:t>10.61</w:t>
        </w:r>
      </w:hyperlink>
      <w:r>
        <w:rPr>
          <w:rFonts w:ascii="Times New Roman" w:cs="Times New Roman" w:eastAsia="Times New Roman" w:hAnsi="Times New Roman"/>
          <w:sz w:val="18"/>
          <w:szCs w:val="18"/>
          <w:color w:val="0000EE"/>
        </w:rPr>
        <w:tab/>
        <w:t>Employment Agreement dated November 28, 2012, between the Company and Kevin Cureton, incorporated by reference to Exhibit 10.36 to the Company’s Annual Report on Form 10-K for the year ended December 31, 2012, SEC File No. 000-22333. +</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u w:val="single" w:color="auto"/>
            <w:color w:val="0000EE"/>
          </w:rPr>
          <w:t>10.62</w:t>
        </w:r>
      </w:hyperlink>
      <w:r>
        <w:rPr>
          <w:rFonts w:ascii="Times New Roman" w:cs="Times New Roman" w:eastAsia="Times New Roman" w:hAnsi="Times New Roman"/>
          <w:sz w:val="18"/>
          <w:szCs w:val="18"/>
          <w:color w:val="0000EE"/>
        </w:rPr>
        <w:tab/>
        <w:t>Nanophase Technologies Corporation 2004 Equity Compensation Plan (“2004 Equity Plan”), incorporated by reference to Exhibit 4 to the Company’s Registration Statement on Form S-8 (File No. 333-119466). +</w:t>
      </w:r>
    </w:p>
    <w:p>
      <w:pPr>
        <w:spacing w:after="0" w:line="162" w:lineRule="exact"/>
        <w:rPr>
          <w:sz w:val="20"/>
          <w:szCs w:val="20"/>
          <w:color w:val="auto"/>
        </w:rPr>
      </w:pPr>
    </w:p>
    <w:p>
      <w:pPr>
        <w:spacing w:after="0"/>
        <w:tabs>
          <w:tab w:leader="none" w:pos="640" w:val="left"/>
        </w:tabs>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u w:val="single" w:color="auto"/>
            <w:color w:val="0000EE"/>
          </w:rPr>
          <w:t>10.63</w:t>
        </w:r>
      </w:hyperlink>
      <w:r>
        <w:rPr>
          <w:rFonts w:ascii="Times New Roman" w:cs="Times New Roman" w:eastAsia="Times New Roman" w:hAnsi="Times New Roman"/>
          <w:sz w:val="18"/>
          <w:szCs w:val="18"/>
          <w:color w:val="0000EE"/>
        </w:rPr>
        <w:tab/>
        <w:t>2008 Long-Term Cash Incentive Plan, incorporated by reference to Exhibit 10.1 to the Company’s Current Report on Form 8-K filed July 25,</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2008, SEC File No. 000-22333.+</w:t>
      </w:r>
    </w:p>
    <w:p>
      <w:pPr>
        <w:spacing w:after="0" w:line="207"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u w:val="single" w:color="auto"/>
            <w:color w:val="0000EE"/>
          </w:rPr>
          <w:t>10.64</w:t>
        </w:r>
      </w:hyperlink>
      <w:r>
        <w:rPr>
          <w:rFonts w:ascii="Times New Roman" w:cs="Times New Roman" w:eastAsia="Times New Roman" w:hAnsi="Times New Roman"/>
          <w:sz w:val="18"/>
          <w:szCs w:val="18"/>
          <w:color w:val="0000EE"/>
        </w:rPr>
        <w:tab/>
        <w:t>Nanophase Technologies Corporation 2010 Equity Compensation Plan, as amended, incorporated by reference to Exhibit 10.1 to the Company’s Current Report on Form 8-K filed August 29, 2016.+</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u w:val="single" w:color="auto"/>
            <w:color w:val="0000EE"/>
          </w:rPr>
          <w:t>10.</w:t>
        </w:r>
      </w:hyperlink>
      <w:r>
        <w:rPr>
          <w:rFonts w:ascii="Times New Roman" w:cs="Times New Roman" w:eastAsia="Times New Roman" w:hAnsi="Times New Roman"/>
          <w:sz w:val="18"/>
          <w:szCs w:val="18"/>
          <w:color w:val="000000"/>
        </w:rPr>
        <w:t>65</w:t>
      </w:r>
      <w:r>
        <w:rPr>
          <w:rFonts w:ascii="Times New Roman" w:cs="Times New Roman" w:eastAsia="Times New Roman" w:hAnsi="Times New Roman"/>
          <w:sz w:val="18"/>
          <w:szCs w:val="18"/>
          <w:color w:val="0000EE"/>
        </w:rPr>
        <w:tab/>
        <w:t>Form of Stock Option Award Agreement under the 2010 Equity Compensation Plan, incorporated by reference to Exhibit 10.47 to the Company’s Annual Report on Form 10-K for the year ended December 31, 2013.+</w:t>
      </w:r>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u w:val="single" w:color="auto"/>
            <w:color w:val="0000EE"/>
          </w:rPr>
          <w:t>10.66</w:t>
        </w:r>
      </w:hyperlink>
      <w:r>
        <w:rPr>
          <w:rFonts w:ascii="Times New Roman" w:cs="Times New Roman" w:eastAsia="Times New Roman" w:hAnsi="Times New Roman"/>
          <w:sz w:val="18"/>
          <w:szCs w:val="18"/>
          <w:color w:val="0000EE"/>
        </w:rPr>
        <w:tab/>
        <w:t>Nanophase Technologies Corporation 2019 Equity Compensation Plan, incorporated by reference to Exhibit 10.1 to the Company’s Current Report on Form 8-K filed November 22, 2019.+</w:t>
      </w:r>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u w:val="single" w:color="auto"/>
            <w:color w:val="0000EE"/>
          </w:rPr>
          <w:t>10.67</w:t>
        </w:r>
      </w:hyperlink>
      <w:r>
        <w:rPr>
          <w:rFonts w:ascii="Times New Roman" w:cs="Times New Roman" w:eastAsia="Times New Roman" w:hAnsi="Times New Roman"/>
          <w:sz w:val="18"/>
          <w:szCs w:val="18"/>
          <w:color w:val="0000EE"/>
        </w:rPr>
        <w:tab/>
        <w:t>Building Lease, dated as of September 15, 2010, between the Company and the Village of Burr Ridge, incorporated by reference to Exhibit 10.50 to the Company’s Annual Report on Form 10-K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u w:val="single" w:color="auto"/>
            <w:color w:val="0000EE"/>
          </w:rPr>
          <w:t>10.68</w:t>
        </w:r>
      </w:hyperlink>
      <w:r>
        <w:rPr>
          <w:rFonts w:ascii="Times New Roman" w:cs="Times New Roman" w:eastAsia="Times New Roman" w:hAnsi="Times New Roman"/>
          <w:sz w:val="18"/>
          <w:szCs w:val="18"/>
          <w:color w:val="0000EE"/>
        </w:rPr>
        <w:tab/>
        <w:t>Building Lease, dated as of March 13, 2017, between the Company and the Village of Burr Ridge, incorporated by reference to Exhibit 10.51 to the Company’s Annual Report on Form 10-K for the year ended December 31, 2016.</w:t>
      </w:r>
    </w:p>
    <w:p>
      <w:pPr>
        <w:spacing w:after="0" w:line="162" w:lineRule="exact"/>
        <w:rPr>
          <w:sz w:val="20"/>
          <w:szCs w:val="20"/>
          <w:color w:val="auto"/>
        </w:rPr>
      </w:pPr>
    </w:p>
    <w:p>
      <w:pPr>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u w:val="single" w:color="auto"/>
            <w:color w:val="0000EE"/>
          </w:rPr>
          <w:t>10.69*</w:t>
        </w:r>
      </w:hyperlink>
      <w:r>
        <w:rPr>
          <w:rFonts w:ascii="Times New Roman" w:cs="Times New Roman" w:eastAsia="Times New Roman" w:hAnsi="Times New Roman"/>
          <w:sz w:val="18"/>
          <w:szCs w:val="18"/>
          <w:color w:val="0000EE"/>
        </w:rPr>
        <w:tab/>
        <w:t>Know-How License Agreement, executed by the Company on June 26, 2017, between the Company and Eminess Technologies, Inc., incorporated by reference to Exhibit 10.1 of the Current Report on Form 8-K filed June 29, 2017.</w:t>
      </w:r>
    </w:p>
    <w:p>
      <w:pPr>
        <w:spacing w:after="0" w:line="162" w:lineRule="exact"/>
        <w:rPr>
          <w:sz w:val="20"/>
          <w:szCs w:val="20"/>
          <w:color w:val="auto"/>
        </w:rPr>
      </w:pPr>
    </w:p>
    <w:p>
      <w:pPr>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u w:val="single" w:color="auto"/>
            <w:color w:val="0000EE"/>
          </w:rPr>
          <w:t>10.70</w:t>
        </w:r>
      </w:hyperlink>
      <w:r>
        <w:rPr>
          <w:rFonts w:ascii="Times New Roman" w:cs="Times New Roman" w:eastAsia="Times New Roman" w:hAnsi="Times New Roman"/>
          <w:sz w:val="18"/>
          <w:szCs w:val="18"/>
          <w:color w:val="0000EE"/>
        </w:rPr>
        <w:tab/>
        <w:t>Technology Development Agreement, executed by the Company on June 26, 2017, between the Company and Eminess Technologies, Inc., incorporated by reference to Exhibit 10.3 of the Current Report on Form 8-K filed June 29, 2017.</w:t>
      </w:r>
    </w:p>
    <w:p>
      <w:pPr>
        <w:spacing w:after="0" w:line="162" w:lineRule="exact"/>
        <w:rPr>
          <w:sz w:val="20"/>
          <w:szCs w:val="20"/>
          <w:color w:val="auto"/>
        </w:rPr>
      </w:pPr>
    </w:p>
    <w:p>
      <w:pPr>
        <w:ind w:left="660" w:hanging="647"/>
        <w:spacing w:after="0" w:line="282" w:lineRule="auto"/>
        <w:tabs>
          <w:tab w:leader="none" w:pos="640" w:val="left"/>
        </w:tabs>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u w:val="single" w:color="auto"/>
            <w:color w:val="0000EE"/>
          </w:rPr>
          <w:t>10.71*</w:t>
        </w:r>
      </w:hyperlink>
      <w:r>
        <w:rPr>
          <w:rFonts w:ascii="Times New Roman" w:cs="Times New Roman" w:eastAsia="Times New Roman" w:hAnsi="Times New Roman"/>
          <w:sz w:val="18"/>
          <w:szCs w:val="18"/>
          <w:color w:val="0000EE"/>
        </w:rPr>
        <w:tab/>
        <w:t>Exclusive Supply Agreement, effective April 1, 2021, between Solésence, LLC and Ilia Beauty, Inc., incorporated by reference to Exhibit 10.1 of the Current Report on Form 8-K filed June 14, 2021.</w:t>
      </w:r>
    </w:p>
    <w:p>
      <w:pPr>
        <w:spacing w:after="0" w:line="162" w:lineRule="exact"/>
        <w:rPr>
          <w:sz w:val="20"/>
          <w:szCs w:val="20"/>
          <w:color w:val="auto"/>
        </w:rPr>
      </w:pPr>
    </w:p>
    <w:p>
      <w:pPr>
        <w:ind w:left="720" w:hanging="714"/>
        <w:spacing w:after="0" w:line="282" w:lineRule="auto"/>
        <w:tabs>
          <w:tab w:leader="none" w:pos="700" w:val="left"/>
        </w:tabs>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u w:val="single" w:color="auto"/>
            <w:color w:val="0000EE"/>
          </w:rPr>
          <w:t>10.72*</w:t>
        </w:r>
      </w:hyperlink>
      <w:r>
        <w:rPr>
          <w:rFonts w:ascii="Times New Roman" w:cs="Times New Roman" w:eastAsia="Times New Roman" w:hAnsi="Times New Roman"/>
          <w:sz w:val="18"/>
          <w:szCs w:val="18"/>
          <w:color w:val="0000EE"/>
        </w:rPr>
        <w:tab/>
        <w:t>Lease, effective December 1, 2021, between the Company and FR JH 10, LLC, incorporated by reference to Exhibit 10.1 of the Company’s Current Report on Form 8-K filed December 9, 2021.</w:t>
      </w:r>
    </w:p>
    <w:p>
      <w:pPr>
        <w:spacing w:after="0" w:line="162" w:lineRule="exact"/>
        <w:rPr>
          <w:sz w:val="20"/>
          <w:szCs w:val="20"/>
          <w:color w:val="auto"/>
        </w:rPr>
      </w:pPr>
    </w:p>
    <w:p>
      <w:pPr>
        <w:ind w:left="720" w:hanging="71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10.73</w:t>
      </w:r>
      <w:r>
        <w:rPr>
          <w:sz w:val="20"/>
          <w:szCs w:val="20"/>
          <w:color w:val="auto"/>
        </w:rPr>
        <w:tab/>
      </w:r>
      <w:r>
        <w:rPr>
          <w:rFonts w:ascii="Times New Roman" w:cs="Times New Roman" w:eastAsia="Times New Roman" w:hAnsi="Times New Roman"/>
          <w:sz w:val="18"/>
          <w:szCs w:val="18"/>
          <w:color w:val="auto"/>
        </w:rPr>
        <w:t>Third Amendment to Business Loan Agreement with Strandler, LLC, incorporated by reference to Exhibit 10.1 to the Company’s Current Report on Form 8-K filed June 2, 2025, SEC File No. 001-42589.</w:t>
      </w:r>
    </w:p>
    <w:p>
      <w:pPr>
        <w:spacing w:after="0" w:line="162" w:lineRule="exact"/>
        <w:rPr>
          <w:sz w:val="20"/>
          <w:szCs w:val="20"/>
          <w:color w:val="auto"/>
        </w:rPr>
      </w:pPr>
    </w:p>
    <w:p>
      <w:pPr>
        <w:ind w:left="720" w:hanging="71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10.74</w:t>
      </w:r>
      <w:r>
        <w:rPr>
          <w:sz w:val="20"/>
          <w:szCs w:val="20"/>
          <w:color w:val="auto"/>
        </w:rPr>
        <w:tab/>
      </w:r>
      <w:r>
        <w:rPr>
          <w:rFonts w:ascii="Times New Roman" w:cs="Times New Roman" w:eastAsia="Times New Roman" w:hAnsi="Times New Roman"/>
          <w:sz w:val="18"/>
          <w:szCs w:val="18"/>
          <w:color w:val="auto"/>
        </w:rPr>
        <w:t>Third Amendment to Amended and Restated Business Loan Agreement with Beachcorp, LLC, incorporated by reference to Exhibit 10.2 to the Company’s Current Report on Form 8-K filed June 2, 2025, SEC File No. 001-42589.</w:t>
      </w:r>
    </w:p>
    <w:p>
      <w:pPr>
        <w:spacing w:after="0" w:line="162" w:lineRule="exact"/>
        <w:rPr>
          <w:sz w:val="20"/>
          <w:szCs w:val="20"/>
          <w:color w:val="auto"/>
        </w:rPr>
      </w:pPr>
    </w:p>
    <w:p>
      <w:pPr>
        <w:ind w:left="720" w:hanging="71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10.75</w:t>
      </w:r>
      <w:r>
        <w:rPr>
          <w:sz w:val="20"/>
          <w:szCs w:val="20"/>
          <w:color w:val="auto"/>
        </w:rPr>
        <w:tab/>
      </w:r>
      <w:r>
        <w:rPr>
          <w:rFonts w:ascii="Times New Roman" w:cs="Times New Roman" w:eastAsia="Times New Roman" w:hAnsi="Times New Roman"/>
          <w:sz w:val="18"/>
          <w:szCs w:val="18"/>
          <w:color w:val="auto"/>
        </w:rPr>
        <w:t>Third Amendment to Business Loan Agreement with Beachcorp, LLC, incorporated by reference to Exhibit 10.3 to the Company’s Current Report on Form 8-K filed June 2, 2025, SEC File No. 001-42589.</w:t>
      </w:r>
    </w:p>
    <w:p>
      <w:pPr>
        <w:spacing w:after="0" w:line="162" w:lineRule="exact"/>
        <w:rPr>
          <w:sz w:val="20"/>
          <w:szCs w:val="20"/>
          <w:color w:val="auto"/>
        </w:rPr>
      </w:pPr>
    </w:p>
    <w:p>
      <w:pPr>
        <w:ind w:left="720" w:hanging="71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10.76</w:t>
      </w:r>
      <w:r>
        <w:rPr>
          <w:sz w:val="20"/>
          <w:szCs w:val="20"/>
          <w:color w:val="auto"/>
        </w:rPr>
        <w:tab/>
      </w:r>
      <w:r>
        <w:rPr>
          <w:rFonts w:ascii="Times New Roman" w:cs="Times New Roman" w:eastAsia="Times New Roman" w:hAnsi="Times New Roman"/>
          <w:sz w:val="18"/>
          <w:szCs w:val="18"/>
          <w:color w:val="auto"/>
        </w:rPr>
        <w:t>Employment Agreement dated September 3, 2025, between the Company and Kevin Cureton, incorporated by reference to Exhibit 10.1 to the Company’s Current Report on Form 8-K filed September 3, 2025, SEC File No. 000-22333. +</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10.77</w:t>
      </w:r>
      <w:r>
        <w:rPr>
          <w:sz w:val="20"/>
          <w:szCs w:val="20"/>
          <w:color w:val="auto"/>
        </w:rPr>
        <w:tab/>
      </w:r>
      <w:r>
        <w:rPr>
          <w:rFonts w:ascii="Times New Roman" w:cs="Times New Roman" w:eastAsia="Times New Roman" w:hAnsi="Times New Roman"/>
          <w:sz w:val="18"/>
          <w:szCs w:val="18"/>
          <w:color w:val="auto"/>
        </w:rPr>
        <w:t>Transition Employment Agreement dated September 3, 2025, between the Company and Jess Jankowski, incorporated by reference to Exhibit</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10.2 to the Company’s Current Report on Form 8-K filed September 3, 2025, SEC File No. 000-22333. +</w:t>
      </w:r>
    </w:p>
    <w:p>
      <w:pPr>
        <w:spacing w:after="0" w:line="207" w:lineRule="exact"/>
        <w:rPr>
          <w:sz w:val="20"/>
          <w:szCs w:val="20"/>
          <w:color w:val="auto"/>
        </w:rPr>
      </w:pPr>
    </w:p>
    <w:p>
      <w:pPr>
        <w:ind w:left="720" w:hanging="71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10.78</w:t>
      </w:r>
      <w:r>
        <w:rPr>
          <w:sz w:val="20"/>
          <w:szCs w:val="20"/>
          <w:color w:val="auto"/>
        </w:rPr>
        <w:tab/>
      </w:r>
      <w:r>
        <w:rPr>
          <w:rFonts w:ascii="Times New Roman" w:cs="Times New Roman" w:eastAsia="Times New Roman" w:hAnsi="Times New Roman"/>
          <w:sz w:val="18"/>
          <w:szCs w:val="18"/>
          <w:color w:val="auto"/>
        </w:rPr>
        <w:t>Employment Agreement dated September 3, 2025, between the Company and Laura Riffner, incorporated by reference to Exhibit 10.3 to the Company’s Current Report on Form 8-K filed September 3, 2025, SEC File No. 000-22333. +</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10.79</w:t>
      </w:r>
      <w:r>
        <w:rPr>
          <w:sz w:val="20"/>
          <w:szCs w:val="20"/>
          <w:color w:val="auto"/>
        </w:rPr>
        <w:tab/>
      </w:r>
      <w:r>
        <w:rPr>
          <w:rFonts w:ascii="Times New Roman" w:cs="Times New Roman" w:eastAsia="Times New Roman" w:hAnsi="Times New Roman"/>
          <w:sz w:val="18"/>
          <w:szCs w:val="18"/>
          <w:color w:val="auto"/>
        </w:rPr>
        <w:t>Solésence 2025 Equity Compensation Plan, incorporated by reference to Exhibit A to the Company’s Definitive Proxy Statement filed July 30,</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2025. +</w:t>
      </w:r>
    </w:p>
    <w:p>
      <w:pPr>
        <w:spacing w:after="0" w:line="207" w:lineRule="exact"/>
        <w:rPr>
          <w:sz w:val="20"/>
          <w:szCs w:val="20"/>
          <w:color w:val="auto"/>
        </w:rPr>
      </w:pPr>
    </w:p>
    <w:p>
      <w:pPr>
        <w:ind w:right="8200" w:firstLine="8"/>
        <w:spacing w:after="0" w:line="500"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Solésence Insider Trading Policy 21.1 Subsidiary of the Company.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7"/>
          <w:szCs w:val="17"/>
          <w:color w:val="auto"/>
        </w:rPr>
        <w:t>Consent of RSM US LLP.</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color w:val="auto"/>
        </w:rPr>
        <w:t>Certification of the Chief Executive Officer (principal executive officer) pursuant to Rules 13a-14(a) and 15d-14(a) under the Exchange Act. (filed herewith)</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8"/>
          <w:szCs w:val="18"/>
          <w:color w:val="auto"/>
        </w:rPr>
        <w:t>Certification of the Chief Financial Officer (principal financial officer) pursuant to Rules 13a-14(a) and 15d-14(a) under the Exchange Act. (filed herewith)</w:t>
      </w:r>
    </w:p>
    <w:p>
      <w:pPr>
        <w:spacing w:after="0" w:line="162" w:lineRule="exact"/>
        <w:rPr>
          <w:sz w:val="20"/>
          <w:szCs w:val="20"/>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Certification of the Chief Executive Officer (principal executive officer) and Chief Financial Officer (principal financial officer) pursuant to 18 U.S.C. Section 1350. (filed herewith)</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97.1</w:t>
      </w:r>
      <w:r>
        <w:rPr>
          <w:sz w:val="20"/>
          <w:szCs w:val="20"/>
          <w:color w:val="auto"/>
        </w:rPr>
        <w:tab/>
      </w:r>
      <w:r>
        <w:rPr>
          <w:rFonts w:ascii="Times New Roman" w:cs="Times New Roman" w:eastAsia="Times New Roman" w:hAnsi="Times New Roman"/>
          <w:sz w:val="17"/>
          <w:szCs w:val="17"/>
          <w:color w:val="auto"/>
        </w:rPr>
        <w:t>Clawback Policy</w:t>
      </w:r>
    </w:p>
    <w:p>
      <w:pPr>
        <w:spacing w:after="0" w:line="225" w:lineRule="exact"/>
        <w:rPr>
          <w:sz w:val="20"/>
          <w:szCs w:val="20"/>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Annual Report on Form 10-K for the year ended December 31, 2025, formatted in XBRL (Extensible Business Reporting Language): (1) the Balance Sheets, (2) the Statements of Operations, (3) the Statements of Cash Flows, (4) the Statements of Stockholders’ Equity, and (5) the Notes to the Financial Statements.</w:t>
      </w:r>
    </w:p>
    <w:p>
      <w:pPr>
        <w:spacing w:after="0" w:line="17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previously granted for portions of this agreement.</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contracts or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April, 2026.</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SOLÉSENCE, INC.</w:t>
      </w:r>
    </w:p>
    <w:p>
      <w:pPr>
        <w:spacing w:after="0" w:line="2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/s/ Kevin Cureton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Kevin Cureton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April,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3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26"/>
        </w:trPr>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Cureton</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(principal executive officer)</w:t>
            </w:r>
          </w:p>
        </w:tc>
      </w:tr>
      <w:tr>
        <w:trPr>
          <w:trHeight w:val="228"/>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Cureton</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Director</w:t>
            </w:r>
          </w:p>
        </w:tc>
      </w:tr>
      <w:tr>
        <w:trPr>
          <w:trHeight w:val="414"/>
        </w:trPr>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Janet Whitmore</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 Janet Whitmore</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414"/>
        </w:trPr>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M. Beres</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Laura M. Beres</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414"/>
        </w:trPr>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E. Miller</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E. Miller</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414"/>
        </w:trPr>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Riffner</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Laura Riffner</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441"/>
        </w:trPr>
        <w:tc>
          <w:tcPr>
            <w:tcW w:w="5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SOLÉSENCE, INC.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Rules 13a-14(a) and 15d-14(a) under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Kevin Cureton, certify that:</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        I have reviewed this annual report on Form 10-K/A of Solésence, Inc,;</w:t>
      </w:r>
    </w:p>
    <w:p>
      <w:pPr>
        <w:spacing w:after="0" w:line="225"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8"/>
          <w:szCs w:val="18"/>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0"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520" w:right="100" w:firstLine="583"/>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520" w:right="100" w:firstLine="583"/>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520" w:right="100" w:firstLine="583"/>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520" w:right="100" w:firstLine="583"/>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2" w:lineRule="exact"/>
        <w:rPr>
          <w:sz w:val="20"/>
          <w:szCs w:val="20"/>
          <w:color w:val="auto"/>
        </w:rPr>
      </w:pPr>
    </w:p>
    <w:p>
      <w:pPr>
        <w:ind w:left="520" w:right="120" w:firstLine="583"/>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520" w:right="100" w:firstLine="583"/>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8"/>
          <w:szCs w:val="18"/>
          <w:color w:val="auto"/>
        </w:rPr>
        <w:t>/s/ Kevin Cureton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8"/>
          <w:szCs w:val="18"/>
          <w:color w:val="auto"/>
        </w:rPr>
        <w:t>Kevin Cureton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SOLÉSENCE, INC.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Rules 13a-14(a) and 15d-14(a) under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Laura Riffner, certify that:</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        I have reviewed this annual report on Form 10-K/A of Solésence, Inc.;</w:t>
      </w:r>
    </w:p>
    <w:p>
      <w:pPr>
        <w:spacing w:after="0" w:line="225"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8"/>
          <w:szCs w:val="18"/>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0"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520" w:right="100" w:firstLine="583"/>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520" w:right="100" w:firstLine="583"/>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520" w:right="120" w:firstLine="583"/>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520" w:right="100" w:firstLine="583"/>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2" w:lineRule="exact"/>
        <w:rPr>
          <w:sz w:val="20"/>
          <w:szCs w:val="20"/>
          <w:color w:val="auto"/>
        </w:rPr>
      </w:pPr>
    </w:p>
    <w:p>
      <w:pPr>
        <w:ind w:left="520" w:right="100" w:firstLine="583"/>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520" w:right="100" w:firstLine="583"/>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Laura Riffner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Laura Riffner</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4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SOLÉSENCE, INC.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right="100" w:firstLine="583"/>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Solésence, Inc. (the “Company”) on Form 10-K/A for the year ending December 31, 2025 as filed with the Securities and Exchange Commission on the date hereof (the “Report”), I, Kevin Cureton, President and Chief Executive Officer of the Company, certify, pursuant to 18 U.S.C. § 1350, as adopted pursuant to Section 906 of the Sarbanes-Oxley Act of 2002, that, to my knowledge: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and</w:t>
      </w:r>
    </w:p>
    <w:p>
      <w:pPr>
        <w:spacing w:after="0" w:line="225" w:lineRule="exact"/>
        <w:rPr>
          <w:sz w:val="20"/>
          <w:szCs w:val="20"/>
          <w:color w:val="auto"/>
        </w:rPr>
      </w:pPr>
    </w:p>
    <w:p>
      <w:pPr>
        <w:jc w:val="both"/>
        <w:ind w:right="100" w:firstLine="583"/>
        <w:spacing w:after="0" w:line="282" w:lineRule="auto"/>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Kevin Cureton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Kevin Cureton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Solésence, Inc. (the “Company”) on Form 10-K/A for the year ending December 31, 2025 as filed with the Securities and Exchange Commission on the date hereof (the “Report”), I, Laura Riffner, Chief Financial Officer of the Company, certify, pursuant to 18 U.S.C. § 1350, as adopted pursuant to Section 906 of the Sarbanes-Oxley Act of 2002, that, to my knowledge: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and</w:t>
      </w:r>
    </w:p>
    <w:p>
      <w:pPr>
        <w:spacing w:after="0" w:line="225"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Laura Riffner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Laura Riffner</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SOLÉSENCE, INC.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NANOPHASE TECHNOLOGIES CORPORATION (the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Nasdaq Listing Rule 5608 (the “</w:t>
      </w:r>
      <w:r>
        <w:rPr>
          <w:rFonts w:ascii="Times New Roman" w:cs="Times New Roman" w:eastAsia="Times New Roman" w:hAnsi="Times New Roman"/>
          <w:sz w:val="18"/>
          <w:szCs w:val="18"/>
          <w:b w:val="1"/>
          <w:bCs w:val="1"/>
          <w:color w:val="auto"/>
        </w:rPr>
        <w:t>Clawback Listing Standards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by the Board in accordance with the definition in Section 10D of the Exchange Act and the Clawback Listing Standards (“</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Recoupment; Accounting Restatement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Policy, “Incentive Compensation” means any of the following; provided that, such compensation is granted, earned, or vested based wholly or in part on the attainment of a financial reporting measure:</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5" w:name="page16"/>
    <w:bookmarkEnd w:id="15"/>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w:t>
      </w:r>
    </w:p>
    <w:p>
      <w:pPr>
        <w:spacing w:after="0" w:line="225" w:lineRule="exact"/>
        <w:rPr>
          <w:rFonts w:ascii="Times New Roman" w:cs="Times New Roman" w:eastAsia="Times New Roman" w:hAnsi="Times New Roman"/>
          <w:sz w:val="18"/>
          <w:szCs w:val="18"/>
          <w:color w:val="auto"/>
        </w:rPr>
      </w:pPr>
    </w:p>
    <w:p>
      <w:pPr>
        <w:jc w:val="center"/>
        <w:ind w:right="8520" w:firstLine="332"/>
        <w:spacing w:after="0" w:line="500"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 Financial reporting measures include: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Excess Incentive Compensation: Amount Subject to Recovery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Policy, “Excess Incentive Compensation” means the amount of the Incentive Compensation paid to the Covered Executive, in connection with the erroneously reported data (as described under the preceding “Recoupment; Accounting Restatement” section of this Policy), that is greater than the Incentive Compensation which would have been paid to the Covered Executive had it been based on the restated results, as determined by the Board, without regard to any taxes paid by the Covered Executive in respect of the Incentive Compensation paid based on the erroneously reported data.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Board cannot determine the exact amount of Excess Incentive Compensation received by the Covered Executive directly based on the information in the accounting restatement, then the Board will make its determination of the Excess Incentive Compensation based on a reasonable estimate of the effect of the accounting restatement.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Method of Recoupment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will determine, in its sole discretion, the method or methods for recouping Excess Incentive Compensation hereunder which may include, without limitation, one or more of the following:</w:t>
      </w:r>
    </w:p>
    <w:p>
      <w:pPr>
        <w:spacing w:after="0" w:line="162"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to the extent permitted by applicable law, from any compensation otherwise owed by the Company to the Covered Executive before the date that recoupment of the Excess Incentive Compensation is required by the Board;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amount of the annualized base salary paid to the Covered Executive after the date that recoupment of the Excess Incentive Compensation is required by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applicable law, as determined by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indemnify any Covered Executive against the loss of any recouped Excess Incentive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any applicable rules or standards adopted by the Securities and Exchange Commission, the Clawback Listing Standards, and applicable law regarding compensation recoupment.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Effective Date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Policy shall be effective as of the date it is adopted by the Board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Incentive Compensation that is received by Covered Executives on or after the Effective Date, even if such Incentive Compensation was approved, awarded, or granted to Covered Executives prior to the Effective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final regulations adopted by the Securities and Exchange Commission under Section 10D of the Exchange Act and to comply with the Clawback Listing Standards and any other rules or standards adopted by a national securities exchange on which the Company's securities are listed. The Board may terminate this Policy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Recoupment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remedies available to the Company under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 to Other Plans and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In the event of any inconsistency between the terms of this Policy and the terms of any employment agreement, equity award agreement, or similar agreement under which Incentive Compensation has been granted, awarded, earned or paid to a Covered Executive, whether or not deferred, the terms of this Policy shall govern.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Impracticability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Successors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9"/>
    </w:lvl>
  </w:abstractNum>
  <w:abstractNum w:abstractNumId="3">
    <w:nsid w:val="79E2A9E3"/>
    <w:multiLevelType w:val="hybridMultilevel"/>
    <w:lvl w:ilvl="0">
      <w:lvlJc w:val="left"/>
      <w:lvlText w:val="%1"/>
      <w:numFmt w:val="decimal"/>
      <w:start w:val="32"/>
    </w:lvl>
  </w:abstractNum>
  <w:abstractNum w:abstractNumId="4">
    <w:nsid w:val="7545E146"/>
    <w:multiLevelType w:val="hybridMultilevel"/>
    <w:lvl w:ilvl="0">
      <w:lvlJc w:val="left"/>
      <w:lvlText w:val="%1"/>
      <w:numFmt w:val="decimal"/>
      <w:start w:val="10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6" Type="http://schemas.openxmlformats.org/officeDocument/2006/relationships/image" Target="media/image7.png"/><Relationship Id="rId42" Type="http://schemas.openxmlformats.org/officeDocument/2006/relationships/image" Target="media/image8.png"/><Relationship Id="rId59" Type="http://schemas.openxmlformats.org/officeDocument/2006/relationships/image" Target="media/image9.png"/><Relationship Id="rId72" Type="http://schemas.openxmlformats.org/officeDocument/2006/relationships/image" Target="media/image10.png"/><Relationship Id="rId81" Type="http://schemas.openxmlformats.org/officeDocument/2006/relationships/image" Target="media/image11.png"/><Relationship Id="rId85" Type="http://schemas.openxmlformats.org/officeDocument/2006/relationships/image" Target="media/image12.png"/><Relationship Id="rId86" Type="http://schemas.openxmlformats.org/officeDocument/2006/relationships/image" Target="media/image13.png"/><Relationship Id="rId87" Type="http://schemas.openxmlformats.org/officeDocument/2006/relationships/image" Target="media/image14.png"/><Relationship Id="rId88" Type="http://schemas.openxmlformats.org/officeDocument/2006/relationships/image" Target="media/image15.png"/><Relationship Id="rId89" Type="http://schemas.openxmlformats.org/officeDocument/2006/relationships/image" Target="media/image16.png"/><Relationship Id="rId90" Type="http://schemas.openxmlformats.org/officeDocument/2006/relationships/image" Target="media/image17.png"/><Relationship Id="rId91" Type="http://schemas.openxmlformats.org/officeDocument/2006/relationships/image" Target="media/image18.png"/><Relationship Id="rId92" Type="http://schemas.openxmlformats.org/officeDocument/2006/relationships/image" Target="media/image19.png"/><Relationship Id="rId93" Type="http://schemas.openxmlformats.org/officeDocument/2006/relationships/image" Target="media/image20.png"/><Relationship Id="rId94" Type="http://schemas.openxmlformats.org/officeDocument/2006/relationships/image" Target="media/image21.png"/><Relationship Id="rId95" Type="http://schemas.openxmlformats.org/officeDocument/2006/relationships/image" Target="media/image22.png"/><Relationship Id="rId96" Type="http://schemas.openxmlformats.org/officeDocument/2006/relationships/image" Target="media/image23.png"/><Relationship Id="rId97" Type="http://schemas.openxmlformats.org/officeDocument/2006/relationships/image" Target="media/image24.png"/><Relationship Id="rId98" Type="http://schemas.openxmlformats.org/officeDocument/2006/relationships/image" Target="media/image25.png"/><Relationship Id="rId99" Type="http://schemas.openxmlformats.org/officeDocument/2006/relationships/image" Target="media/image26.png"/><Relationship Id="rId100" Type="http://schemas.openxmlformats.org/officeDocument/2006/relationships/image" Target="media/image27.png"/><Relationship Id="rId101" Type="http://schemas.openxmlformats.org/officeDocument/2006/relationships/image" Target="media/image28.png"/><Relationship Id="rId102" Type="http://schemas.openxmlformats.org/officeDocument/2006/relationships/image" Target="media/image29.png"/><Relationship Id="rId103" Type="http://schemas.openxmlformats.org/officeDocument/2006/relationships/image" Target="media/image30.png"/><Relationship Id="rId104" Type="http://schemas.openxmlformats.org/officeDocument/2006/relationships/image" Target="media/image31.png"/><Relationship Id="rId105" Type="http://schemas.openxmlformats.org/officeDocument/2006/relationships/image" Target="media/image32.png"/><Relationship Id="rId106" Type="http://schemas.openxmlformats.org/officeDocument/2006/relationships/image" Target="media/image33.png"/><Relationship Id="rId107" Type="http://schemas.openxmlformats.org/officeDocument/2006/relationships/image" Target="media/image34.png"/><Relationship Id="rId14" Type="http://schemas.openxmlformats.org/officeDocument/2006/relationships/hyperlink" Target="http://www.sec.gov/Archives/edgar/data/883107/0000950137-98-001318.txt" TargetMode="External"/><Relationship Id="rId15" Type="http://schemas.openxmlformats.org/officeDocument/2006/relationships/hyperlink" Target="http://www.sec.gov/Archives/edgar/data/883107/000095013706008184/c07040exv99w1.htm" TargetMode="External"/><Relationship Id="rId16" Type="http://schemas.openxmlformats.org/officeDocument/2006/relationships/hyperlink" Target="http://www.sec.gov/Archives/edgar/data/883107/000119312510156263/ddef14a.htm" TargetMode="External"/><Relationship Id="rId17" Type="http://schemas.openxmlformats.org/officeDocument/2006/relationships/hyperlink" Target="http://www.sec.gov/Archives/edgar/data/883107/000119312516695341/d128490dex31.htm" TargetMode="External"/><Relationship Id="rId18" Type="http://schemas.openxmlformats.org/officeDocument/2006/relationships/hyperlink" Target="http://www.sec.gov/Archives/edgar/data/883107/000138713119008979/ex3-1.htm" TargetMode="External"/><Relationship Id="rId19" Type="http://schemas.openxmlformats.org/officeDocument/2006/relationships/hyperlink" Target="http://www.sec.gov/Archives/edgar/data/883107/0000950124-97-005666.txt" TargetMode="External"/><Relationship Id="rId20" Type="http://schemas.openxmlformats.org/officeDocument/2006/relationships/hyperlink" Target="http://www.sec.gov/Archives/edgar/data/883107/0000950124-97-005025.txt" TargetMode="External"/><Relationship Id="rId21" Type="http://schemas.openxmlformats.org/officeDocument/2006/relationships/hyperlink" Target="http://www.sec.gov/Archives/edgar/data/883107/0000950137-99-000697.txt" TargetMode="External"/><Relationship Id="rId22" Type="http://schemas.openxmlformats.org/officeDocument/2006/relationships/hyperlink" Target="http://www.sec.gov/Archives/edgar/data/883107/000095013706009508/c08103exv99w1.htm" TargetMode="External"/><Relationship Id="rId23" Type="http://schemas.openxmlformats.org/officeDocument/2006/relationships/hyperlink" Target="http://www.sec.gov/Archives/edgar/data/883107/000095013706009508/c08103exv99w2.htm" TargetMode="External"/><Relationship Id="rId24" Type="http://schemas.openxmlformats.org/officeDocument/2006/relationships/hyperlink" Target="http://www.sec.gov/Archives/edgar/data/883107/000119312516457564/d132490dex41.htm" TargetMode="External"/><Relationship Id="rId25" Type="http://schemas.openxmlformats.org/officeDocument/2006/relationships/hyperlink" Target="http://www.sec.gov/Archives/edgar/data/883107/000138713117005930/ex4-1.htm" TargetMode="External"/><Relationship Id="rId27" Type="http://schemas.openxmlformats.org/officeDocument/2006/relationships/hyperlink" Target="http://www.sec.gov/Archives/edgar/data/883107/000138713119003693/ex4-1.htm" TargetMode="External"/><Relationship Id="rId28" Type="http://schemas.openxmlformats.org/officeDocument/2006/relationships/hyperlink" Target="http://www.sec.gov/Archives/edgar/data/883107/000138713119008754/ex4-1.htm" TargetMode="External"/><Relationship Id="rId29" Type="http://schemas.openxmlformats.org/officeDocument/2006/relationships/hyperlink" Target="http://www.sec.gov/Archives/edgar/data/883107/000138713119008754/ex4-2.htm" TargetMode="External"/><Relationship Id="rId30" Type="http://schemas.openxmlformats.org/officeDocument/2006/relationships/hyperlink" Target="https://www.sec.gov/Archives/edgar/data/883107/000199937124003109/ex3-1.htm" TargetMode="External"/><Relationship Id="rId31" Type="http://schemas.openxmlformats.org/officeDocument/2006/relationships/hyperlink" Target="http://www.sec.gov/Archives/edgar/data/883107/000119312505051229/dex1032.htm" TargetMode="External"/><Relationship Id="rId32" Type="http://schemas.openxmlformats.org/officeDocument/2006/relationships/hyperlink" Target="http://www.sec.gov/Archives/edgar/data/883107/000095013701000921/c60965ex10-23.txt" TargetMode="External"/><Relationship Id="rId33" Type="http://schemas.openxmlformats.org/officeDocument/2006/relationships/hyperlink" Target="http://www.sec.gov/Archives/edgar/data/883107/000119312505205040/dex991.htm" TargetMode="External"/><Relationship Id="rId34" Type="http://schemas.openxmlformats.org/officeDocument/2006/relationships/hyperlink" Target="http://www.sec.gov/Archives/edgar/data/883107/000119312515108088/d842536dex104.htm" TargetMode="External"/><Relationship Id="rId35" Type="http://schemas.openxmlformats.org/officeDocument/2006/relationships/hyperlink" Target="http://www.sec.gov/Archives/edgar/data/883107/000119312516741320/d267663dex101.htm" TargetMode="External"/><Relationship Id="rId36" Type="http://schemas.openxmlformats.org/officeDocument/2006/relationships/hyperlink" Target="http://www.sec.gov/Archives/edgar/data/883107/000119312512017484/d284617dex101.htm" TargetMode="External"/><Relationship Id="rId37" Type="http://schemas.openxmlformats.org/officeDocument/2006/relationships/hyperlink" Target="http://www.sec.gov/Archives/edgar/data/883107/000119312512149270/d329220dex101.htm" TargetMode="External"/><Relationship Id="rId38" Type="http://schemas.openxmlformats.org/officeDocument/2006/relationships/hyperlink" Target="http://www.sec.gov/Archives/edgar/data/883107/000119312512149270/d329220dex102.htm" TargetMode="External"/><Relationship Id="rId39" Type="http://schemas.openxmlformats.org/officeDocument/2006/relationships/hyperlink" Target="http://www.sec.gov/Archives/edgar/data/883107/000095013700001466/0000950137-00-001466.txt" TargetMode="External"/><Relationship Id="rId40" Type="http://schemas.openxmlformats.org/officeDocument/2006/relationships/hyperlink" Target="http://www.sec.gov/Archives/edgar/data/883107/000095013701000921/c60965ex10-24.txt" TargetMode="External"/><Relationship Id="rId41" Type="http://schemas.openxmlformats.org/officeDocument/2006/relationships/hyperlink" Target="http://www.sec.gov/Archives/edgar/data/883107/000095013103001833/dex1026.txt" TargetMode="External"/><Relationship Id="rId43" Type="http://schemas.openxmlformats.org/officeDocument/2006/relationships/hyperlink" Target="http://www.sec.gov/Archives/edgar/data/883107/000119312512493208/d450148dex101.htm" TargetMode="External"/><Relationship Id="rId44" Type="http://schemas.openxmlformats.org/officeDocument/2006/relationships/hyperlink" Target="http://www.sec.gov/Archives/edgar/data/883107/000138713119003693/ex10-1.htm" TargetMode="External"/><Relationship Id="rId45" Type="http://schemas.openxmlformats.org/officeDocument/2006/relationships/hyperlink" Target="http://www.sec.gov/Archives/edgar/data/883107/000095013706007037/c06160exv99w1.htm" TargetMode="External"/><Relationship Id="rId46" Type="http://schemas.openxmlformats.org/officeDocument/2006/relationships/hyperlink" Target="http://www.sec.gov/Archives/edgar/data/883107/000095013706009508/c08103exv99w3.htm" TargetMode="External"/><Relationship Id="rId47" Type="http://schemas.openxmlformats.org/officeDocument/2006/relationships/hyperlink" Target="http://www.sec.gov/Archives/edgar/data/883107/000119312509063068/dex1056.htm" TargetMode="External"/><Relationship Id="rId48" Type="http://schemas.openxmlformats.org/officeDocument/2006/relationships/hyperlink" Target="http://www.sec.gov/Archives/edgar/data/883107/000119312505213135/dex991.htm" TargetMode="External"/><Relationship Id="rId49" Type="http://schemas.openxmlformats.org/officeDocument/2006/relationships/hyperlink" Target="http://www.sec.gov/Archives/edgar/data/883107/000119312506049696/dex991.htm" TargetMode="External"/><Relationship Id="rId50" Type="http://schemas.openxmlformats.org/officeDocument/2006/relationships/hyperlink" Target="http://www.sec.gov/Archives/edgar/data/883107/000119312514424621/d826939dex101.htm" TargetMode="External"/><Relationship Id="rId51" Type="http://schemas.openxmlformats.org/officeDocument/2006/relationships/hyperlink" Target="http://www.sec.gov/Archives/edgar/data/883107/000138713116008205/ex10-1.htm" TargetMode="External"/><Relationship Id="rId52" Type="http://schemas.openxmlformats.org/officeDocument/2006/relationships/hyperlink" Target="http://www.sec.gov/Archives/edgar/data/883107/000119312504053619/dex1029.htm" TargetMode="External"/><Relationship Id="rId53" Type="http://schemas.openxmlformats.org/officeDocument/2006/relationships/hyperlink" Target="http://www.sec.gov/Archives/edgar/data/883107/000119312508153656/dex991.htm" TargetMode="External"/><Relationship Id="rId54" Type="http://schemas.openxmlformats.org/officeDocument/2006/relationships/hyperlink" Target="http://www.sec.gov/Archives/edgar/data/883107/000119312510197018/dex101.htm" TargetMode="External"/><Relationship Id="rId55" Type="http://schemas.openxmlformats.org/officeDocument/2006/relationships/hyperlink" Target="http://www.sec.gov/Archives/edgar/data/883107/000119312516532340/d177601dex101.htm" TargetMode="External"/><Relationship Id="rId56" Type="http://schemas.openxmlformats.org/officeDocument/2006/relationships/hyperlink" Target="http://www.sec.gov/Archives/edgar/data/883107/000138713118002377/ex10-1.htm" TargetMode="External"/><Relationship Id="rId57" Type="http://schemas.openxmlformats.org/officeDocument/2006/relationships/hyperlink" Target="http://www.sec.gov/Archives/edgar/data/883107/000138713119005703/ex10-1.htm" TargetMode="External"/><Relationship Id="rId58" Type="http://schemas.openxmlformats.org/officeDocument/2006/relationships/hyperlink" Target="http://www.sec.gov/Archives/edgar/data/883107/000138713118002344/ex10-1.htm" TargetMode="External"/><Relationship Id="rId60" Type="http://schemas.openxmlformats.org/officeDocument/2006/relationships/hyperlink" Target="http://www.sec.gov/Archives/edgar/data/883107/000138713118002344/ex10-2.htm" TargetMode="External"/><Relationship Id="rId61" Type="http://schemas.openxmlformats.org/officeDocument/2006/relationships/hyperlink" Target="http://www.sec.gov/Archives/edgar/data/883107/000119312515085098/d889435dex102.htm" TargetMode="External"/><Relationship Id="rId62" Type="http://schemas.openxmlformats.org/officeDocument/2006/relationships/hyperlink" Target="http://www.sec.gov/Archives/edgar/data/883107/000119312515085098/d889435dex103.htm" TargetMode="External"/><Relationship Id="rId63" Type="http://schemas.openxmlformats.org/officeDocument/2006/relationships/hyperlink" Target="http://www.sec.gov/Archives/edgar/data/883107/000119312516499319/d156543dex102.htm" TargetMode="External"/><Relationship Id="rId64" Type="http://schemas.openxmlformats.org/officeDocument/2006/relationships/hyperlink" Target="http://www.sec.gov/Archives/edgar/data/883107/000138713117001688/ex10-32.htm" TargetMode="External"/><Relationship Id="rId65" Type="http://schemas.openxmlformats.org/officeDocument/2006/relationships/hyperlink" Target="http://www.sec.gov/Archives/edgar/data/883107/000138713118001319/ex10-34.htm" TargetMode="External"/><Relationship Id="rId66" Type="http://schemas.openxmlformats.org/officeDocument/2006/relationships/hyperlink" Target="http://www.sec.gov/Archives/edgar/data/883107/000138713118001319/ex10-35.htm" TargetMode="External"/><Relationship Id="rId67" Type="http://schemas.openxmlformats.org/officeDocument/2006/relationships/hyperlink" Target="http://www.sec.gov/Archives/edgar/data/883107/000138713119002520/ex10-32.htm" TargetMode="External"/><Relationship Id="rId68" Type="http://schemas.openxmlformats.org/officeDocument/2006/relationships/hyperlink" Target="http://www.sec.gov/Archives/edgar/data/883107/000138713119002520/ex10-33.htm" TargetMode="External"/><Relationship Id="rId69" Type="http://schemas.openxmlformats.org/officeDocument/2006/relationships/hyperlink" Target="http://www.sec.gov/Archives/edgar/data/883107/000138713118006333/ex10-1.htm" TargetMode="External"/><Relationship Id="rId70" Type="http://schemas.openxmlformats.org/officeDocument/2006/relationships/hyperlink" Target="http://www.sec.gov/Archives/edgar/data/883107/000138713118006333/ex10-2.htm" TargetMode="External"/><Relationship Id="rId71" Type="http://schemas.openxmlformats.org/officeDocument/2006/relationships/hyperlink" Target="http://www.sec.gov/Archives/edgar/data/883107/000138713118006333/ex10-3.htm" TargetMode="External"/><Relationship Id="rId73" Type="http://schemas.openxmlformats.org/officeDocument/2006/relationships/hyperlink" Target="http://www.sec.gov/Archives/edgar/data/883107/000119312509172982/dex103.htm" TargetMode="External"/><Relationship Id="rId74" Type="http://schemas.openxmlformats.org/officeDocument/2006/relationships/hyperlink" Target="http://www.sec.gov/Archives/edgar/data/883107/000119312513133828/d444033dex1036.htm" TargetMode="External"/><Relationship Id="rId75" Type="http://schemas.openxmlformats.org/officeDocument/2006/relationships/hyperlink" Target="http://www.sec.gov/Archives/edgar/data/883107/000119312504165579/dex4.htm" TargetMode="External"/><Relationship Id="rId76" Type="http://schemas.openxmlformats.org/officeDocument/2006/relationships/hyperlink" Target="http://www.sec.gov/Archives/edgar/data/883107/000119312508158144/dex101.htm" TargetMode="External"/><Relationship Id="rId77" Type="http://schemas.openxmlformats.org/officeDocument/2006/relationships/hyperlink" Target="http://www.sec.gov/Archives/edgar/data/883107/000119312516695341/d128490dex101.htm" TargetMode="External"/><Relationship Id="rId78" Type="http://schemas.openxmlformats.org/officeDocument/2006/relationships/hyperlink" Target="http://www.sec.gov/Archives/edgar/data/883107/000119312514119638/d667758dex1047.htm" TargetMode="External"/><Relationship Id="rId79" Type="http://schemas.openxmlformats.org/officeDocument/2006/relationships/hyperlink" Target="http://www.sec.gov/Archives/edgar/data/883107/000138713119008979/ex10-1.htm" TargetMode="External"/><Relationship Id="rId80" Type="http://schemas.openxmlformats.org/officeDocument/2006/relationships/hyperlink" Target="http://www.sec.gov/Archives/edgar/data/883107/000138713117001688/ex10-50.htm" TargetMode="External"/><Relationship Id="rId82" Type="http://schemas.openxmlformats.org/officeDocument/2006/relationships/hyperlink" Target="http://www.sec.gov/Archives/edgar/data/883107/000138713117001688/ex10-51.htm" TargetMode="External"/><Relationship Id="rId83" Type="http://schemas.openxmlformats.org/officeDocument/2006/relationships/hyperlink" Target="http://www.sec.gov/Archives/edgar/data/883107/000138713117003519/ex10-1.htm" TargetMode="External"/><Relationship Id="rId84" Type="http://schemas.openxmlformats.org/officeDocument/2006/relationships/hyperlink" Target="http://www.sec.gov/Archives/edgar/data/883107/000138713117003519/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2026-04-23T16:02:35Z</dcterms:created>
  <dcterms:modified xsi:type="dcterms:W3CDTF">2026-04-23T16:02:35Z</dcterms:modified>
</cp:coreProperties>
</file>