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jc w:val="left"/>
        <w:rPr>
          <w:bdr w:val="single" w:sz="16" w:space="1" w:color="000000"/>
        </w:rPr>
      </w:pPr>
      <w:bookmarkStart w:id="0" w:name="slsn-10k_123125.htm"/>
      <w:bookmarkStart w:id="1" w:name="ksslsn10k_123125"/>
      <w:bookmarkEnd w:id="0"/>
      <w:bookmarkEnd w:id="1"/>
      <w:r>
        <w:rPr>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 </w:t>
      </w:r>
    </w:p>
    <w:p>
      <w:pPr>
        <w:pStyle w:val="TextBody"/>
        <w:bidi w:val="0"/>
        <w:spacing w:before="0" w:after="0"/>
        <w:jc w:val="center"/>
        <w:rPr>
          <w:rFonts w:ascii="Times New Roman;Times;Serif" w:hAnsi="Times New Roman;Times;Serif"/>
          <w:b w:val="false"/>
          <w:i w:val="false"/>
          <w:caps w:val="false"/>
          <w:smallCaps w:val="false"/>
          <w:sz w:val="28"/>
        </w:rPr>
      </w:pPr>
      <w:r>
        <w:rPr>
          <w:rFonts w:ascii="Times New Roman;Times;Serif" w:hAnsi="Times New Roman;Times;Serif"/>
          <w:b/>
          <w:i w:val="false"/>
          <w:caps w:val="false"/>
          <w:smallCaps w:val="false"/>
          <w:sz w:val="28"/>
        </w:rPr>
        <w:t>SECURITIES AND EXCHANGE COMMISSION</w:t>
      </w:r>
      <w:r>
        <w:rPr>
          <w:rFonts w:ascii="Times New Roman;Times;Serif" w:hAnsi="Times New Roman;Times;Serif"/>
          <w:b w:val="false"/>
          <w:i w:val="false"/>
          <w:caps w:val="false"/>
          <w:smallCaps w:val="false"/>
          <w:sz w:val="28"/>
        </w:rPr>
        <w:t> </w:t>
      </w:r>
    </w:p>
    <w:p>
      <w:pPr>
        <w:pStyle w:val="TextBody"/>
        <w:bidi w:val="0"/>
        <w:spacing w:before="0" w:after="0"/>
        <w:jc w:val="center"/>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7_edei--DocumentType_c20250101__20"/>
      <w:bookmarkEnd w:id="2"/>
      <w:r>
        <w:rPr>
          <w:rFonts w:ascii="Times New Roman;Times;Serif" w:hAnsi="Times New Roman;Times;Serif"/>
          <w:b/>
          <w:i w:val="false"/>
          <w:caps w:val="false"/>
          <w:smallCaps w:val="false"/>
          <w:sz w:val="36"/>
        </w:rPr>
        <w:t>10-K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bookmarkStart w:id="3" w:name="xdx_90C_edei--DocumentAnnualReport_c2025"/>
      <w:bookmarkEnd w:id="3"/>
      <w:r>
        <w:rPr>
          <w:caps w:val="false"/>
          <w:smallCaps w:val="false"/>
        </w:rPr>
        <w:t xml:space="preserve">☒ </w:t>
      </w:r>
      <w:r>
        <w:rPr>
          <w:rFonts w:ascii="Times New Roman;Times;Serif" w:hAnsi="Times New Roman;Times;Serif"/>
          <w:b/>
          <w:i w:val="false"/>
          <w:caps w:val="false"/>
          <w:smallCaps w:val="false"/>
          <w:sz w:val="24"/>
        </w:rPr>
        <w:t>ANNUAL REPORT PURSUANT TO SECTION 13 OR 15(d) 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fiscal year ended </w:t>
      </w:r>
      <w:bookmarkStart w:id="4" w:name="xdx_908_edei--DocumentPeriodEndDate_c202"/>
      <w:bookmarkEnd w:id="4"/>
      <w:r>
        <w:rPr>
          <w:rFonts w:ascii="Times New Roman;Times;Serif" w:hAnsi="Times New Roman;Times;Serif"/>
          <w:b w:val="false"/>
          <w:i w:val="false"/>
          <w:caps w:val="false"/>
          <w:smallCaps w:val="false"/>
          <w:sz w:val="20"/>
        </w:rPr>
        <w:t>December 31, 2025</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bookmarkStart w:id="5" w:name="xdx_900_edei--DocumentTransitionReport_c"/>
      <w:bookmarkEnd w:id="5"/>
      <w:r>
        <w:rPr>
          <w:caps w:val="false"/>
          <w:smallCaps w:val="false"/>
        </w:rPr>
        <w:t>☐  </w:t>
      </w:r>
      <w:r>
        <w:rPr>
          <w:rFonts w:ascii="Times New Roman;Times;Serif" w:hAnsi="Times New Roman;Times;Serif"/>
          <w:b/>
          <w:i w:val="false"/>
          <w:caps w:val="false"/>
          <w:smallCaps w:val="false"/>
          <w:sz w:val="24"/>
        </w:rPr>
        <w:t>TRANSITION REPORT PURSUANT TO SECTION 13 OR 15(d) 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TRANSITION PERIOD FROM_____ TO_____</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COMMISSION FILE NUMBER </w:t>
      </w:r>
      <w:bookmarkStart w:id="6" w:name="xdx_90E_edei--EntityFileNumber_c20250101"/>
      <w:bookmarkEnd w:id="6"/>
      <w:r>
        <w:rPr>
          <w:rFonts w:ascii="Times New Roman;Times;Serif" w:hAnsi="Times New Roman;Times;Serif"/>
          <w:b/>
          <w:i w:val="false"/>
          <w:caps w:val="false"/>
          <w:smallCaps w:val="false"/>
          <w:sz w:val="20"/>
        </w:rPr>
        <w:t>001-42589</w:t>
      </w:r>
      <w:r>
        <w:rPr>
          <w:rFonts w:ascii="Times New Roman;Times;Serif" w:hAnsi="Times New Roman;Times;Serif"/>
          <w:b w:val="false"/>
          <w:i w:val="false"/>
          <w:caps w:val="false"/>
          <w:smallCaps w:val="false"/>
          <w:sz w:val="2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48"/>
        </w:rPr>
      </w:pPr>
      <w:bookmarkStart w:id="7" w:name="xdx_902_edei--EntityRegistrantName_dxL_c"/>
      <w:bookmarkEnd w:id="7"/>
      <w:r>
        <w:rPr>
          <w:rFonts w:ascii="Times New Roman;Times;Serif" w:hAnsi="Times New Roman;Times;Serif"/>
          <w:b/>
          <w:i w:val="false"/>
          <w:caps w:val="false"/>
          <w:smallCaps w:val="false"/>
          <w:sz w:val="48"/>
        </w:rPr>
        <w:t>SOLÉSENCE,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 </w:t>
      </w:r>
    </w:p>
    <w:p>
      <w:pPr>
        <w:pStyle w:val="TextBody"/>
        <w:bidi w:val="0"/>
        <w:spacing w:before="0" w:after="0"/>
        <w:jc w:val="center"/>
        <w:rPr>
          <w:caps w:val="false"/>
          <w:smallCaps w:val="false"/>
        </w:rPr>
      </w:pPr>
      <w:r>
        <w:rPr>
          <w:caps w:val="false"/>
          <w:smallCaps w:val="false"/>
        </w:rPr>
        <w:t> </w:t>
      </w:r>
    </w:p>
    <w:tbl>
      <w:tblPr>
        <w:tblW w:w="5620" w:type="dxa"/>
        <w:jc w:val="left"/>
        <w:tblInd w:w="0" w:type="dxa"/>
        <w:tblLayout w:type="fixed"/>
        <w:tblCellMar>
          <w:top w:w="0" w:type="dxa"/>
          <w:left w:w="0" w:type="dxa"/>
          <w:bottom w:w="0" w:type="dxa"/>
          <w:right w:w="0" w:type="dxa"/>
        </w:tblCellMar>
      </w:tblPr>
      <w:tblGrid>
        <w:gridCol w:w="2705"/>
        <w:gridCol w:w="2915"/>
      </w:tblGrid>
      <w:tr>
        <w:trPr/>
        <w:tc>
          <w:tcPr>
            <w:tcW w:w="270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8" w:name="xdx_90F_edei--EntityIncorporationStateCo"/>
            <w:bookmarkEnd w:id="8"/>
            <w:r>
              <w:rPr>
                <w:rFonts w:ascii="Times New Roman;Times;Serif" w:hAnsi="Times New Roman;Times;Serif"/>
                <w:b/>
                <w:i w:val="false"/>
                <w:caps w:val="false"/>
                <w:smallCaps w:val="false"/>
                <w:sz w:val="20"/>
              </w:rPr>
              <w:t>Delaware</w:t>
            </w:r>
          </w:p>
        </w:tc>
        <w:tc>
          <w:tcPr>
            <w:tcW w:w="291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9" w:name="xdx_90D_edei--EntityTaxIdentificationNum"/>
            <w:bookmarkEnd w:id="9"/>
            <w:r>
              <w:rPr>
                <w:rFonts w:ascii="Times New Roman;Times;Serif" w:hAnsi="Times New Roman;Times;Serif"/>
                <w:b/>
                <w:i w:val="false"/>
                <w:caps w:val="false"/>
                <w:smallCaps w:val="false"/>
                <w:sz w:val="20"/>
              </w:rPr>
              <w:t>36-3687863</w:t>
            </w:r>
          </w:p>
        </w:tc>
      </w:tr>
      <w:tr>
        <w:trPr/>
        <w:tc>
          <w:tcPr>
            <w:tcW w:w="270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tc>
        <w:tc>
          <w:tcPr>
            <w:tcW w:w="29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 Identification No.)</w:t>
            </w:r>
          </w:p>
        </w:tc>
      </w:tr>
      <w:tr>
        <w:trPr/>
        <w:tc>
          <w:tcPr>
            <w:tcW w:w="270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 or organization)</w:t>
            </w:r>
          </w:p>
        </w:tc>
        <w:tc>
          <w:tcPr>
            <w:tcW w:w="2915" w:type="dxa"/>
            <w:tcBorders/>
            <w:vAlign w:val="center"/>
          </w:tcPr>
          <w:p>
            <w:pPr>
              <w:pStyle w:val="TableContents"/>
              <w:bidi w:val="0"/>
              <w:spacing w:before="0" w:after="283"/>
              <w:jc w:val="center"/>
              <w:rPr>
                <w:caps w:val="false"/>
                <w:smallCaps w:val="false"/>
              </w:rPr>
            </w:pPr>
            <w:r>
              <w:rPr>
                <w:caps w:val="false"/>
                <w:smallCaps w:val="false"/>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0" w:name="xdx_908_edei--EntityAddressAddressLine1_"/>
      <w:bookmarkEnd w:id="10"/>
      <w:r>
        <w:rPr>
          <w:rFonts w:ascii="Times New Roman;Times;Serif" w:hAnsi="Times New Roman;Times;Serif"/>
          <w:b/>
          <w:i w:val="false"/>
          <w:caps w:val="false"/>
          <w:smallCaps w:val="false"/>
          <w:sz w:val="20"/>
        </w:rPr>
        <w:t xml:space="preserve">1319 Marquette Drive, </w:t>
      </w:r>
      <w:bookmarkStart w:id="11" w:name="xdx_90A_edei--EntityAddressCityOrTown_c2"/>
      <w:bookmarkEnd w:id="11"/>
      <w:r>
        <w:rPr>
          <w:rFonts w:ascii="Times New Roman;Times;Serif" w:hAnsi="Times New Roman;Times;Serif"/>
          <w:b/>
          <w:i w:val="false"/>
          <w:caps w:val="false"/>
          <w:smallCaps w:val="false"/>
          <w:sz w:val="20"/>
        </w:rPr>
        <w:t xml:space="preserve">Romeoville, </w:t>
      </w:r>
      <w:bookmarkStart w:id="12" w:name="xdx_90D_edei--EntityAddressStateOrProvin"/>
      <w:bookmarkEnd w:id="12"/>
      <w:r>
        <w:rPr>
          <w:rFonts w:ascii="Times New Roman;Times;Serif" w:hAnsi="Times New Roman;Times;Serif"/>
          <w:b/>
          <w:i w:val="false"/>
          <w:caps w:val="false"/>
          <w:smallCaps w:val="false"/>
          <w:sz w:val="20"/>
        </w:rPr>
        <w:t xml:space="preserve">Illinois </w:t>
      </w:r>
      <w:bookmarkStart w:id="13" w:name="xdx_90C_edei--EntityAddressPostalZipCode"/>
      <w:bookmarkEnd w:id="13"/>
      <w:r>
        <w:rPr>
          <w:rFonts w:ascii="Times New Roman;Times;Serif" w:hAnsi="Times New Roman;Times;Serif"/>
          <w:b/>
          <w:i w:val="false"/>
          <w:caps w:val="false"/>
          <w:smallCaps w:val="false"/>
          <w:sz w:val="20"/>
        </w:rPr>
        <w:t>60446 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(zip code)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bookmarkStart w:id="14" w:name="xdx_905_edei--CityAreaCode_c20250101__20"/>
      <w:bookmarkEnd w:id="14"/>
      <w:r>
        <w:rPr>
          <w:rFonts w:ascii="Times New Roman;Times;Serif" w:hAnsi="Times New Roman;Times;Serif"/>
          <w:b/>
          <w:i w:val="false"/>
          <w:caps w:val="false"/>
          <w:smallCaps w:val="false"/>
          <w:sz w:val="20"/>
        </w:rPr>
        <w:t xml:space="preserve">(630) </w:t>
      </w:r>
      <w:bookmarkStart w:id="15" w:name="xdx_905_edei--LocalPhoneNumber_c20250101"/>
      <w:bookmarkEnd w:id="15"/>
      <w:r>
        <w:rPr>
          <w:rFonts w:ascii="Times New Roman;Times;Serif" w:hAnsi="Times New Roman;Times;Serif"/>
          <w:b/>
          <w:i w:val="false"/>
          <w:caps w:val="false"/>
          <w:smallCaps w:val="false"/>
          <w:sz w:val="20"/>
        </w:rPr>
        <w:t>771-6708</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SOLESENCE,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jc w:val="center"/>
        <w:rPr>
          <w:caps w:val="false"/>
          <w:smallCaps w:val="false"/>
        </w:rPr>
      </w:pPr>
      <w:r>
        <w:rPr>
          <w:caps w:val="false"/>
          <w:smallCaps w:val="false"/>
        </w:rPr>
        <w:t> </w:t>
      </w:r>
    </w:p>
    <w:tbl>
      <w:tblPr>
        <w:tblW w:w="8850" w:type="dxa"/>
        <w:jc w:val="left"/>
        <w:tblInd w:w="0" w:type="dxa"/>
        <w:tblLayout w:type="fixed"/>
        <w:tblCellMar>
          <w:top w:w="0" w:type="dxa"/>
          <w:left w:w="0" w:type="dxa"/>
          <w:bottom w:w="28" w:type="dxa"/>
          <w:right w:w="0" w:type="dxa"/>
        </w:tblCellMar>
      </w:tblPr>
      <w:tblGrid>
        <w:gridCol w:w="3410"/>
        <w:gridCol w:w="60"/>
        <w:gridCol w:w="1610"/>
        <w:gridCol w:w="60"/>
        <w:gridCol w:w="3710"/>
      </w:tblGrid>
      <w:tr>
        <w:trPr/>
        <w:tc>
          <w:tcPr>
            <w:tcW w:w="34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341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6" w:name="xdx_908_edei--Security12bTitle_c20250101"/>
            <w:bookmarkEnd w:id="16"/>
            <w:r>
              <w:rPr>
                <w:rFonts w:ascii="Times New Roman;Times;Serif" w:hAnsi="Times New Roman;Times;Serif"/>
                <w:b w:val="false"/>
                <w:i w:val="false"/>
                <w:caps w:val="false"/>
                <w:smallCaps w:val="false"/>
                <w:sz w:val="20"/>
              </w:rPr>
              <w:t>Common Stock, $0.01 par value per share</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7" w:name="xdx_906_edei--TradingSymbol_c20250101__2"/>
            <w:bookmarkEnd w:id="17"/>
            <w:r>
              <w:rPr>
                <w:rFonts w:ascii="Times New Roman;Times;Serif" w:hAnsi="Times New Roman;Times;Serif"/>
                <w:b w:val="false"/>
                <w:i w:val="false"/>
                <w:caps w:val="false"/>
                <w:smallCaps w:val="false"/>
                <w:sz w:val="20"/>
              </w:rPr>
              <w:t>SLSN</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18" w:name="xdx_90C_edei--SecurityExchangeName_c2025"/>
            <w:bookmarkEnd w:id="18"/>
            <w:r>
              <w:rPr>
                <w:rFonts w:ascii="Times New Roman;Times;Serif" w:hAnsi="Times New Roman;Times;Serif"/>
                <w:b w:val="false"/>
                <w:i w:val="false"/>
                <w:caps w:val="false"/>
                <w:smallCaps w:val="false"/>
                <w:sz w:val="20"/>
              </w:rPr>
              <w:t>NASDAQ Capital Market</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12(g) of the Act: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is a well-known seasoned issuer, as defined in Rule 405 of the Securities Act. Yes ☐ </w:t>
      </w:r>
      <w:bookmarkStart w:id="19" w:name="xdx_901_edei--EntityWellKnownSeasonedIss"/>
      <w:bookmarkEnd w:id="19"/>
      <w:r>
        <w:rPr>
          <w:rFonts w:ascii="Times New Roman;Times;Serif" w:hAnsi="Times New Roman;Times;Serif"/>
          <w:b w:val="false"/>
          <w:i w:val="false"/>
          <w:caps w:val="false"/>
          <w:smallCaps w:val="false"/>
          <w:sz w:val="20"/>
        </w:rPr>
        <w:t>No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if the registrant is not required to file reports pursuant to Section 13 or Section 15(d) of the Act. Yes ☐ </w:t>
      </w:r>
      <w:bookmarkStart w:id="20" w:name="xdx_90E_edei--EntityVoluntaryFilers_c202"/>
      <w:bookmarkEnd w:id="20"/>
      <w:r>
        <w:rPr>
          <w:rFonts w:ascii="Times New Roman;Times;Serif" w:hAnsi="Times New Roman;Times;Serif"/>
          <w:b w:val="false"/>
          <w:i w:val="false"/>
          <w:caps w:val="false"/>
          <w:smallCaps w:val="false"/>
          <w:sz w:val="20"/>
        </w:rPr>
        <w:t>No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if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bookmarkStart w:id="21" w:name="xdx_907_edei--EntityCurrentReportingStat"/>
      <w:bookmarkEnd w:id="21"/>
      <w:r>
        <w:rPr>
          <w:rFonts w:ascii="Times New Roman;Times;Serif" w:hAnsi="Times New Roman;Times;Serif"/>
          <w:b w:val="false"/>
          <w:i w:val="false"/>
          <w:caps w:val="false"/>
          <w:smallCaps w:val="false"/>
          <w:sz w:val="20"/>
        </w:rPr>
        <w:t>Yes ☒ No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 </w:t>
      </w:r>
      <w:bookmarkStart w:id="22" w:name="xdx_903_edei--EntityInteractiveDataCurre"/>
      <w:bookmarkEnd w:id="22"/>
      <w:r>
        <w:rPr>
          <w:rFonts w:ascii="Times New Roman;Times;Serif" w:hAnsi="Times New Roman;Times;Serif"/>
          <w:b w:val="false"/>
          <w:i w:val="false"/>
          <w:caps w:val="false"/>
          <w:smallCaps w:val="false"/>
          <w:sz w:val="20"/>
        </w:rPr>
        <w:t>Yes ☐ No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firstLine="720"/>
        <w:jc w:val="both"/>
        <w:rPr>
          <w:caps w:val="false"/>
          <w:smallCaps w:val="false"/>
        </w:rPr>
      </w:pPr>
      <w:r>
        <w:rPr>
          <w:caps w:val="false"/>
          <w:smallCaps w:val="false"/>
        </w:rPr>
        <w:t> </w:t>
      </w:r>
    </w:p>
    <w:tbl>
      <w:tblPr>
        <w:tblW w:w="4535" w:type="dxa"/>
        <w:jc w:val="left"/>
        <w:tblInd w:w="0" w:type="dxa"/>
        <w:tblLayout w:type="fixed"/>
        <w:tblCellMar>
          <w:top w:w="0" w:type="dxa"/>
          <w:left w:w="0" w:type="dxa"/>
          <w:bottom w:w="0" w:type="dxa"/>
          <w:right w:w="0" w:type="dxa"/>
        </w:tblCellMar>
      </w:tblPr>
      <w:tblGrid>
        <w:gridCol w:w="1835"/>
        <w:gridCol w:w="230"/>
        <w:gridCol w:w="2225"/>
        <w:gridCol w:w="245"/>
      </w:tblGrid>
      <w:tr>
        <w:trPr/>
        <w:tc>
          <w:tcPr>
            <w:tcW w:w="18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Accelerated filer</w:t>
            </w:r>
          </w:p>
        </w:tc>
        <w:tc>
          <w:tcPr>
            <w:tcW w:w="245" w:type="dxa"/>
            <w:tcBorders/>
            <w:vAlign w:val="center"/>
          </w:tcPr>
          <w:p>
            <w:pPr>
              <w:pStyle w:val="TableContents"/>
              <w:bidi w:val="0"/>
              <w:spacing w:before="0" w:after="283"/>
              <w:jc w:val="left"/>
              <w:rPr>
                <w:caps w:val="false"/>
                <w:smallCaps w:val="false"/>
              </w:rPr>
            </w:pPr>
            <w:r>
              <w:rPr>
                <w:caps w:val="false"/>
                <w:smallCaps w:val="false"/>
              </w:rPr>
              <w:t>☐</w:t>
            </w:r>
          </w:p>
        </w:tc>
      </w:tr>
      <w:tr>
        <w:trPr/>
        <w:tc>
          <w:tcPr>
            <w:tcW w:w="18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23" w:name="xdx_90F_edei--EntityFilerCategory_c20250"/>
            <w:bookmarkEnd w:id="23"/>
            <w:r>
              <w:rPr>
                <w:rFonts w:ascii="Times New Roman;Times;Serif" w:hAnsi="Times New Roman;Times;Serif"/>
                <w:b w:val="false"/>
                <w:i w:val="false"/>
                <w:caps w:val="false"/>
                <w:smallCaps w:val="false"/>
                <w:sz w:val="20"/>
              </w:rPr>
              <w:t>Non-accelerated filer</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Smaller reporting company</w:t>
            </w:r>
          </w:p>
        </w:tc>
        <w:tc>
          <w:tcPr>
            <w:tcW w:w="245" w:type="dxa"/>
            <w:tcBorders/>
            <w:vAlign w:val="center"/>
          </w:tcPr>
          <w:p>
            <w:pPr>
              <w:pStyle w:val="TableContents"/>
              <w:bidi w:val="0"/>
              <w:spacing w:before="0" w:after="283"/>
              <w:jc w:val="left"/>
              <w:rPr>
                <w:caps w:val="false"/>
                <w:smallCaps w:val="false"/>
              </w:rPr>
            </w:pPr>
            <w:bookmarkStart w:id="24" w:name="xdx_90C_edei--EntitySmallBusiness_c20250"/>
            <w:bookmarkEnd w:id="24"/>
            <w:r>
              <w:rPr>
                <w:caps w:val="false"/>
                <w:smallCaps w:val="false"/>
              </w:rPr>
              <w:t>☒</w:t>
            </w:r>
          </w:p>
        </w:tc>
      </w:tr>
      <w:tr>
        <w:trPr/>
        <w:tc>
          <w:tcPr>
            <w:tcW w:w="206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w:t>
            </w:r>
          </w:p>
        </w:tc>
        <w:tc>
          <w:tcPr>
            <w:tcW w:w="245" w:type="dxa"/>
            <w:tcBorders/>
            <w:vAlign w:val="center"/>
          </w:tcPr>
          <w:p>
            <w:pPr>
              <w:pStyle w:val="TableContents"/>
              <w:bidi w:val="0"/>
              <w:spacing w:before="0" w:after="283"/>
              <w:jc w:val="left"/>
              <w:rPr>
                <w:caps w:val="false"/>
                <w:smallCaps w:val="false"/>
              </w:rPr>
            </w:pPr>
            <w:bookmarkStart w:id="25" w:name="xdx_90D_edei--EntityEmergingGrowthCompan"/>
            <w:bookmarkEnd w:id="25"/>
            <w:r>
              <w:rPr>
                <w:caps w:val="false"/>
                <w:smallCaps w:val="false"/>
              </w:rPr>
              <w: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bookmarkStart w:id="26" w:name="xdx_909_edei--IcfrAuditorAttestationFlag"/>
      <w:bookmarkEnd w:id="26"/>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securities are registered pursuant to Section 12(b) of the Act, indicate by check mark whether the financial statements of the registrant included in the filing reflect the correction of an error to previously issued financial statements. </w:t>
      </w:r>
      <w:bookmarkStart w:id="27" w:name="xdx_903_edei--DocumentFinStmtErrorCorrec"/>
      <w:bookmarkEnd w:id="27"/>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96"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is a shell company (as defined in Rule 12b-2 of the Exchange Act). Yes ☐ </w:t>
      </w:r>
      <w:bookmarkStart w:id="28" w:name="xdx_90A_edei--EntityShellCompany_c202501"/>
      <w:bookmarkEnd w:id="28"/>
      <w:r>
        <w:rPr>
          <w:rFonts w:ascii="Times New Roman;Times;Serif" w:hAnsi="Times New Roman;Times;Serif"/>
          <w:b w:val="false"/>
          <w:i w:val="false"/>
          <w:caps w:val="false"/>
          <w:smallCaps w:val="false"/>
          <w:sz w:val="20"/>
        </w:rPr>
        <w:t>No ☒</w:t>
      </w:r>
    </w:p>
    <w:p>
      <w:pPr>
        <w:pStyle w:val="TextBody"/>
        <w:bidi w:val="0"/>
        <w:spacing w:before="0" w:after="0"/>
        <w:ind w:left="796"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market value of the registrant’s voting stock held by non-affiliates of the registrant based upon the last reported sale price of the registrant’s common stock on June 30, 2025 was $</w:t>
      </w:r>
      <w:bookmarkStart w:id="29" w:name="xdx_906_edei--EntityPublicFloat_iI_c2025"/>
      <w:bookmarkEnd w:id="29"/>
      <w:r>
        <w:rPr>
          <w:rFonts w:ascii="Times New Roman;Times;Serif" w:hAnsi="Times New Roman;Times;Serif"/>
          <w:b w:val="false"/>
          <w:i w:val="false"/>
          <w:caps w:val="false"/>
          <w:smallCaps w:val="false"/>
          <w:sz w:val="20"/>
        </w:rPr>
        <w:t>27,254,231 as of such date.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outstanding of the registrant’s common stock, par value $.01, as of March 30</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2026 was </w:t>
      </w:r>
      <w:bookmarkStart w:id="30" w:name="xdx_900_edei--EntityCommonStockSharesOut"/>
      <w:bookmarkEnd w:id="30"/>
      <w:r>
        <w:rPr>
          <w:rFonts w:ascii="Times New Roman;Times;Serif" w:hAnsi="Times New Roman;Times;Serif"/>
          <w:b w:val="false"/>
          <w:i w:val="false"/>
          <w:caps w:val="false"/>
          <w:smallCaps w:val="false"/>
          <w:sz w:val="20"/>
        </w:rPr>
        <w:t>70,632,445.</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DOCUMENTS INCORPORATED BY REFERENCE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60" w:after="240"/>
        <w:ind w:left="0" w:right="0" w:firstLine="720"/>
        <w:jc w:val="left"/>
        <w:rPr>
          <w:bdr w:val="single" w:sz="8" w:space="1" w:color="000000"/>
        </w:rPr>
      </w:pPr>
      <w:r>
        <w:rPr>
          <w:bdr w:val="single" w:sz="8" w:space="1" w:color="000000"/>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tbl>
      <w:tblPr>
        <w:tblW w:w="10020" w:type="dxa"/>
        <w:jc w:val="left"/>
        <w:tblInd w:w="0" w:type="dxa"/>
        <w:tblLayout w:type="fixed"/>
        <w:tblCellMar>
          <w:top w:w="0" w:type="dxa"/>
          <w:left w:w="0" w:type="dxa"/>
          <w:bottom w:w="0" w:type="dxa"/>
          <w:right w:w="0" w:type="dxa"/>
        </w:tblCellMar>
      </w:tblPr>
      <w:tblGrid>
        <w:gridCol w:w="725"/>
        <w:gridCol w:w="9050"/>
        <w:gridCol w:w="245"/>
      </w:tblGrid>
      <w:tr>
        <w:trPr/>
        <w:tc>
          <w:tcPr>
            <w:tcW w:w="725" w:type="dxa"/>
            <w:tcBorders/>
            <w:vAlign w:val="center"/>
          </w:tcPr>
          <w:p>
            <w:pPr>
              <w:pStyle w:val="TableContents"/>
              <w:bidi w:val="0"/>
              <w:spacing w:before="0" w:after="283"/>
              <w:jc w:val="left"/>
              <w:rPr>
                <w:caps w:val="false"/>
                <w:smallCaps w:val="false"/>
              </w:rPr>
            </w:pPr>
            <w:r>
              <w:rPr>
                <w:caps w:val="false"/>
                <w:smallCaps w:val="false"/>
              </w:rPr>
              <w:t> </w:t>
            </w:r>
          </w:p>
        </w:tc>
        <w:tc>
          <w:tcPr>
            <w:tcW w:w="9050" w:type="dxa"/>
            <w:tcBorders/>
            <w:vAlign w:val="center"/>
          </w:tcPr>
          <w:p>
            <w:pPr>
              <w:pStyle w:val="TableContents"/>
              <w:bidi w:val="0"/>
              <w:spacing w:before="0" w:after="283"/>
              <w:jc w:val="center"/>
              <w:rPr/>
            </w:pPr>
            <w:hyperlink w:anchor="solesence10ka001">
              <w:r>
                <w:rPr>
                  <w:rStyle w:val="InternetLink"/>
                  <w:rFonts w:ascii="Times New Roman;Times;Serif" w:hAnsi="Times New Roman;Times;Serif"/>
                  <w:b/>
                  <w:i w:val="false"/>
                  <w:caps w:val="false"/>
                  <w:smallCaps w:val="false"/>
                  <w:sz w:val="20"/>
                </w:rPr>
                <w:t>PART I</w:t>
              </w:r>
            </w:hyperlink>
          </w:p>
        </w:tc>
        <w:tc>
          <w:tcPr>
            <w:tcW w:w="24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725" w:type="dxa"/>
            <w:tcBorders/>
            <w:vAlign w:val="center"/>
          </w:tcPr>
          <w:p>
            <w:pPr>
              <w:pStyle w:val="TableContents"/>
              <w:bidi w:val="0"/>
              <w:spacing w:before="0" w:after="283"/>
              <w:jc w:val="left"/>
              <w:rPr/>
            </w:pPr>
            <w:hyperlink w:anchor="solesence10ka002">
              <w:r>
                <w:rPr>
                  <w:rStyle w:val="InternetLink"/>
                  <w:rFonts w:ascii="Times New Roman;Times;Serif" w:hAnsi="Times New Roman;Times;Serif"/>
                  <w:b w:val="false"/>
                  <w:i w:val="false"/>
                  <w:caps w:val="false"/>
                  <w:smallCaps w:val="false"/>
                  <w:sz w:val="20"/>
                </w:rPr>
                <w:t>Item 1. </w:t>
              </w:r>
            </w:hyperlink>
          </w:p>
        </w:tc>
        <w:tc>
          <w:tcPr>
            <w:tcW w:w="9050" w:type="dxa"/>
            <w:tcBorders/>
            <w:vAlign w:val="center"/>
          </w:tcPr>
          <w:p>
            <w:pPr>
              <w:pStyle w:val="TableContents"/>
              <w:bidi w:val="0"/>
              <w:spacing w:before="0" w:after="283"/>
              <w:jc w:val="left"/>
              <w:rPr/>
            </w:pPr>
            <w:hyperlink w:anchor="solesence10ka002">
              <w:r>
                <w:rPr>
                  <w:rStyle w:val="InternetLink"/>
                  <w:rFonts w:ascii="Times New Roman;Times;Serif" w:hAnsi="Times New Roman;Times;Serif"/>
                  <w:b w:val="false"/>
                  <w:i w:val="false"/>
                  <w:caps w:val="false"/>
                  <w:smallCaps w:val="false"/>
                  <w:sz w:val="20"/>
                </w:rPr>
                <w:t>General</w:t>
              </w:r>
            </w:hyperlink>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725" w:type="dxa"/>
            <w:tcBorders/>
            <w:vAlign w:val="center"/>
          </w:tcPr>
          <w:p>
            <w:pPr>
              <w:pStyle w:val="TableContents"/>
              <w:bidi w:val="0"/>
              <w:spacing w:before="0" w:after="283"/>
              <w:jc w:val="left"/>
              <w:rPr>
                <w:caps w:val="false"/>
                <w:smallCaps w:val="false"/>
              </w:rPr>
            </w:pPr>
            <w:r>
              <w:rPr>
                <w:caps w:val="false"/>
                <w:smallCaps w:val="false"/>
              </w:rPr>
              <w:t> </w:t>
            </w:r>
          </w:p>
        </w:tc>
        <w:tc>
          <w:tcPr>
            <w:tcW w:w="9050" w:type="dxa"/>
            <w:tcBorders/>
            <w:vAlign w:val="center"/>
          </w:tcPr>
          <w:p>
            <w:pPr>
              <w:pStyle w:val="TableContents"/>
              <w:bidi w:val="0"/>
              <w:spacing w:before="0" w:after="283"/>
              <w:jc w:val="left"/>
              <w:rPr/>
            </w:pPr>
            <w:hyperlink w:anchor="solesence10ka003">
              <w:r>
                <w:rPr>
                  <w:rStyle w:val="InternetLink"/>
                  <w:rFonts w:ascii="Times New Roman;Times;Serif" w:hAnsi="Times New Roman;Times;Serif"/>
                  <w:b w:val="false"/>
                  <w:i w:val="false"/>
                  <w:caps w:val="false"/>
                  <w:smallCaps w:val="false"/>
                  <w:sz w:val="20"/>
                </w:rPr>
                <w:t>Company Background</w:t>
              </w:r>
            </w:hyperlink>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725" w:type="dxa"/>
            <w:tcBorders/>
            <w:vAlign w:val="center"/>
          </w:tcPr>
          <w:p>
            <w:pPr>
              <w:pStyle w:val="TableContents"/>
              <w:bidi w:val="0"/>
              <w:spacing w:before="0" w:after="283"/>
              <w:jc w:val="left"/>
              <w:rPr>
                <w:caps w:val="false"/>
                <w:smallCaps w:val="false"/>
              </w:rPr>
            </w:pPr>
            <w:r>
              <w:rPr>
                <w:caps w:val="false"/>
                <w:smallCaps w:val="false"/>
              </w:rPr>
              <w:t> </w:t>
            </w:r>
          </w:p>
        </w:tc>
        <w:tc>
          <w:tcPr>
            <w:tcW w:w="9050" w:type="dxa"/>
            <w:tcBorders/>
            <w:vAlign w:val="center"/>
          </w:tcPr>
          <w:p>
            <w:pPr>
              <w:pStyle w:val="TableContents"/>
              <w:bidi w:val="0"/>
              <w:spacing w:before="0" w:after="283"/>
              <w:jc w:val="left"/>
              <w:rPr/>
            </w:pPr>
            <w:hyperlink w:anchor="solesence10ka004">
              <w:r>
                <w:rPr>
                  <w:rStyle w:val="InternetLink"/>
                  <w:rFonts w:ascii="Times New Roman;Times;Serif" w:hAnsi="Times New Roman;Times;Serif"/>
                  <w:b w:val="false"/>
                  <w:i w:val="false"/>
                  <w:caps w:val="false"/>
                  <w:smallCaps w:val="false"/>
                  <w:sz w:val="20"/>
                </w:rPr>
                <w:t>Consumer Products</w:t>
              </w:r>
            </w:hyperlink>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725" w:type="dxa"/>
            <w:tcBorders/>
            <w:vAlign w:val="center"/>
          </w:tcPr>
          <w:p>
            <w:pPr>
              <w:pStyle w:val="TableContents"/>
              <w:bidi w:val="0"/>
              <w:spacing w:before="0" w:after="283"/>
              <w:jc w:val="left"/>
              <w:rPr>
                <w:caps w:val="false"/>
                <w:smallCaps w:val="false"/>
              </w:rPr>
            </w:pPr>
            <w:r>
              <w:rPr>
                <w:caps w:val="false"/>
                <w:smallCaps w:val="false"/>
              </w:rPr>
              <w:t> </w:t>
            </w:r>
          </w:p>
        </w:tc>
        <w:tc>
          <w:tcPr>
            <w:tcW w:w="9050" w:type="dxa"/>
            <w:tcBorders/>
            <w:vAlign w:val="center"/>
          </w:tcPr>
          <w:p>
            <w:pPr>
              <w:pStyle w:val="TableContents"/>
              <w:bidi w:val="0"/>
              <w:spacing w:before="0" w:after="283"/>
              <w:jc w:val="left"/>
              <w:rPr/>
            </w:pPr>
            <w:hyperlink w:anchor="solesence10ka005">
              <w:r>
                <w:rPr>
                  <w:rStyle w:val="InternetLink"/>
                  <w:rFonts w:ascii="Times New Roman;Times;Serif" w:hAnsi="Times New Roman;Times;Serif"/>
                  <w:b w:val="false"/>
                  <w:i w:val="false"/>
                  <w:caps w:val="false"/>
                  <w:smallCaps w:val="false"/>
                  <w:sz w:val="20"/>
                </w:rPr>
                <w:t>Personal Care Ingredients</w:t>
              </w:r>
            </w:hyperlink>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725" w:type="dxa"/>
            <w:tcBorders/>
            <w:vAlign w:val="center"/>
          </w:tcPr>
          <w:p>
            <w:pPr>
              <w:pStyle w:val="TableContents"/>
              <w:bidi w:val="0"/>
              <w:spacing w:before="0" w:after="283"/>
              <w:jc w:val="left"/>
              <w:rPr>
                <w:caps w:val="false"/>
                <w:smallCaps w:val="false"/>
              </w:rPr>
            </w:pPr>
            <w:r>
              <w:rPr>
                <w:caps w:val="false"/>
                <w:smallCaps w:val="false"/>
              </w:rPr>
              <w:t> </w:t>
            </w:r>
          </w:p>
        </w:tc>
        <w:tc>
          <w:tcPr>
            <w:tcW w:w="9050" w:type="dxa"/>
            <w:tcBorders/>
            <w:vAlign w:val="center"/>
          </w:tcPr>
          <w:p>
            <w:pPr>
              <w:pStyle w:val="TableContents"/>
              <w:bidi w:val="0"/>
              <w:spacing w:before="0" w:after="283"/>
              <w:jc w:val="left"/>
              <w:rPr/>
            </w:pPr>
            <w:hyperlink w:anchor="solesence10ka006">
              <w:r>
                <w:rPr>
                  <w:rStyle w:val="InternetLink"/>
                  <w:rFonts w:ascii="Times New Roman;Times;Serif" w:hAnsi="Times New Roman;Times;Serif"/>
                  <w:b w:val="false"/>
                  <w:i w:val="false"/>
                  <w:caps w:val="false"/>
                  <w:smallCaps w:val="false"/>
                  <w:sz w:val="20"/>
                </w:rPr>
                <w:t>Advanced Materials</w:t>
              </w:r>
            </w:hyperlink>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725" w:type="dxa"/>
            <w:tcBorders/>
            <w:vAlign w:val="center"/>
          </w:tcPr>
          <w:p>
            <w:pPr>
              <w:pStyle w:val="TableContents"/>
              <w:bidi w:val="0"/>
              <w:spacing w:before="0" w:after="283"/>
              <w:jc w:val="left"/>
              <w:rPr>
                <w:caps w:val="false"/>
                <w:smallCaps w:val="false"/>
              </w:rPr>
            </w:pPr>
            <w:r>
              <w:rPr>
                <w:caps w:val="false"/>
                <w:smallCaps w:val="false"/>
              </w:rPr>
              <w:t> </w:t>
            </w:r>
          </w:p>
        </w:tc>
        <w:tc>
          <w:tcPr>
            <w:tcW w:w="9050" w:type="dxa"/>
            <w:tcBorders/>
            <w:vAlign w:val="center"/>
          </w:tcPr>
          <w:p>
            <w:pPr>
              <w:pStyle w:val="TableContents"/>
              <w:bidi w:val="0"/>
              <w:spacing w:before="0" w:after="283"/>
              <w:jc w:val="left"/>
              <w:rPr/>
            </w:pPr>
            <w:hyperlink w:anchor="solesence10ka007">
              <w:r>
                <w:rPr>
                  <w:rStyle w:val="InternetLink"/>
                  <w:rFonts w:ascii="Times New Roman;Times;Serif" w:hAnsi="Times New Roman;Times;Serif"/>
                  <w:b w:val="false"/>
                  <w:i w:val="false"/>
                  <w:caps w:val="false"/>
                  <w:smallCaps w:val="false"/>
                  <w:sz w:val="20"/>
                </w:rPr>
                <w:t>Sources and Availability of Raw Materials</w:t>
              </w:r>
            </w:hyperlink>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725" w:type="dxa"/>
            <w:tcBorders/>
            <w:vAlign w:val="center"/>
          </w:tcPr>
          <w:p>
            <w:pPr>
              <w:pStyle w:val="TableContents"/>
              <w:bidi w:val="0"/>
              <w:spacing w:before="0" w:after="283"/>
              <w:jc w:val="left"/>
              <w:rPr>
                <w:caps w:val="false"/>
                <w:smallCaps w:val="false"/>
              </w:rPr>
            </w:pPr>
            <w:r>
              <w:rPr>
                <w:caps w:val="false"/>
                <w:smallCaps w:val="false"/>
              </w:rPr>
              <w:t> </w:t>
            </w:r>
          </w:p>
        </w:tc>
        <w:tc>
          <w:tcPr>
            <w:tcW w:w="9050" w:type="dxa"/>
            <w:tcBorders/>
            <w:vAlign w:val="center"/>
          </w:tcPr>
          <w:p>
            <w:pPr>
              <w:pStyle w:val="TableContents"/>
              <w:bidi w:val="0"/>
              <w:spacing w:before="0" w:after="283"/>
              <w:jc w:val="left"/>
              <w:rPr/>
            </w:pPr>
            <w:hyperlink w:anchor="solesence10ka008">
              <w:r>
                <w:rPr>
                  <w:rStyle w:val="InternetLink"/>
                  <w:rFonts w:ascii="Times New Roman;Times;Serif" w:hAnsi="Times New Roman;Times;Serif"/>
                  <w:b w:val="false"/>
                  <w:i w:val="false"/>
                  <w:caps w:val="false"/>
                  <w:smallCaps w:val="false"/>
                  <w:sz w:val="20"/>
                </w:rPr>
                <w:t>Markets and Distribution</w:t>
              </w:r>
            </w:hyperlink>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725" w:type="dxa"/>
            <w:tcBorders/>
            <w:vAlign w:val="center"/>
          </w:tcPr>
          <w:p>
            <w:pPr>
              <w:pStyle w:val="TableContents"/>
              <w:bidi w:val="0"/>
              <w:spacing w:before="0" w:after="283"/>
              <w:jc w:val="left"/>
              <w:rPr>
                <w:caps w:val="false"/>
                <w:smallCaps w:val="false"/>
              </w:rPr>
            </w:pPr>
            <w:r>
              <w:rPr>
                <w:caps w:val="false"/>
                <w:smallCaps w:val="false"/>
              </w:rPr>
              <w:t> </w:t>
            </w:r>
          </w:p>
        </w:tc>
        <w:tc>
          <w:tcPr>
            <w:tcW w:w="9050" w:type="dxa"/>
            <w:tcBorders/>
            <w:vAlign w:val="center"/>
          </w:tcPr>
          <w:p>
            <w:pPr>
              <w:pStyle w:val="TableContents"/>
              <w:bidi w:val="0"/>
              <w:spacing w:before="0" w:after="283"/>
              <w:jc w:val="left"/>
              <w:rPr/>
            </w:pPr>
            <w:hyperlink w:anchor="solesence10ka009">
              <w:r>
                <w:rPr>
                  <w:rStyle w:val="InternetLink"/>
                  <w:rFonts w:ascii="Times New Roman;Times;Serif" w:hAnsi="Times New Roman;Times;Serif"/>
                  <w:b w:val="false"/>
                  <w:i w:val="false"/>
                  <w:caps w:val="false"/>
                  <w:smallCaps w:val="false"/>
                  <w:sz w:val="20"/>
                </w:rPr>
                <w:t>Research and Development</w:t>
              </w:r>
            </w:hyperlink>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725" w:type="dxa"/>
            <w:tcBorders/>
            <w:vAlign w:val="center"/>
          </w:tcPr>
          <w:p>
            <w:pPr>
              <w:pStyle w:val="TableContents"/>
              <w:bidi w:val="0"/>
              <w:spacing w:before="0" w:after="283"/>
              <w:jc w:val="left"/>
              <w:rPr>
                <w:caps w:val="false"/>
                <w:smallCaps w:val="false"/>
              </w:rPr>
            </w:pPr>
            <w:r>
              <w:rPr>
                <w:caps w:val="false"/>
                <w:smallCaps w:val="false"/>
              </w:rPr>
              <w:t> </w:t>
            </w:r>
          </w:p>
        </w:tc>
        <w:tc>
          <w:tcPr>
            <w:tcW w:w="9050" w:type="dxa"/>
            <w:tcBorders/>
            <w:vAlign w:val="center"/>
          </w:tcPr>
          <w:p>
            <w:pPr>
              <w:pStyle w:val="TableContents"/>
              <w:bidi w:val="0"/>
              <w:spacing w:before="0" w:after="283"/>
              <w:jc w:val="left"/>
              <w:rPr/>
            </w:pPr>
            <w:hyperlink w:anchor="solesence10ka010">
              <w:r>
                <w:rPr>
                  <w:rStyle w:val="InternetLink"/>
                  <w:rFonts w:ascii="Times New Roman;Times;Serif" w:hAnsi="Times New Roman;Times;Serif"/>
                  <w:b w:val="false"/>
                  <w:i w:val="false"/>
                  <w:caps w:val="false"/>
                  <w:smallCaps w:val="false"/>
                  <w:sz w:val="20"/>
                </w:rPr>
                <w:t>Competitive Advantage</w:t>
              </w:r>
            </w:hyperlink>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725" w:type="dxa"/>
            <w:tcBorders/>
            <w:vAlign w:val="center"/>
          </w:tcPr>
          <w:p>
            <w:pPr>
              <w:pStyle w:val="TableContents"/>
              <w:bidi w:val="0"/>
              <w:spacing w:before="0" w:after="283"/>
              <w:jc w:val="left"/>
              <w:rPr>
                <w:caps w:val="false"/>
                <w:smallCaps w:val="false"/>
              </w:rPr>
            </w:pPr>
            <w:r>
              <w:rPr>
                <w:caps w:val="false"/>
                <w:smallCaps w:val="false"/>
              </w:rPr>
              <w:t> </w:t>
            </w:r>
          </w:p>
        </w:tc>
        <w:tc>
          <w:tcPr>
            <w:tcW w:w="9050" w:type="dxa"/>
            <w:tcBorders/>
            <w:vAlign w:val="center"/>
          </w:tcPr>
          <w:p>
            <w:pPr>
              <w:pStyle w:val="TableContents"/>
              <w:bidi w:val="0"/>
              <w:spacing w:before="0" w:after="283"/>
              <w:jc w:val="left"/>
              <w:rPr/>
            </w:pPr>
            <w:hyperlink w:anchor="solesence10ka011">
              <w:r>
                <w:rPr>
                  <w:rStyle w:val="InternetLink"/>
                  <w:rFonts w:ascii="Times New Roman;Times;Serif" w:hAnsi="Times New Roman;Times;Serif"/>
                  <w:b w:val="false"/>
                  <w:i w:val="false"/>
                  <w:caps w:val="false"/>
                  <w:smallCaps w:val="false"/>
                  <w:sz w:val="20"/>
                </w:rPr>
                <w:t>Manufacturing Operations</w:t>
              </w:r>
            </w:hyperlink>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725" w:type="dxa"/>
            <w:tcBorders/>
            <w:vAlign w:val="center"/>
          </w:tcPr>
          <w:p>
            <w:pPr>
              <w:pStyle w:val="TableContents"/>
              <w:bidi w:val="0"/>
              <w:spacing w:before="0" w:after="283"/>
              <w:jc w:val="left"/>
              <w:rPr>
                <w:caps w:val="false"/>
                <w:smallCaps w:val="false"/>
              </w:rPr>
            </w:pPr>
            <w:r>
              <w:rPr>
                <w:caps w:val="false"/>
                <w:smallCaps w:val="false"/>
              </w:rPr>
              <w:t> </w:t>
            </w:r>
          </w:p>
        </w:tc>
        <w:tc>
          <w:tcPr>
            <w:tcW w:w="9050" w:type="dxa"/>
            <w:tcBorders/>
            <w:vAlign w:val="center"/>
          </w:tcPr>
          <w:p>
            <w:pPr>
              <w:pStyle w:val="TableContents"/>
              <w:bidi w:val="0"/>
              <w:spacing w:before="0" w:after="283"/>
              <w:jc w:val="left"/>
              <w:rPr/>
            </w:pPr>
            <w:hyperlink w:anchor="solesence10ka012">
              <w:r>
                <w:rPr>
                  <w:rStyle w:val="InternetLink"/>
                  <w:rFonts w:ascii="Times New Roman;Times;Serif" w:hAnsi="Times New Roman;Times;Serif"/>
                  <w:b w:val="false"/>
                  <w:i w:val="false"/>
                  <w:caps w:val="false"/>
                  <w:smallCaps w:val="false"/>
                  <w:sz w:val="20"/>
                </w:rPr>
                <w:t>Intellectual Property and Proprietary Rights</w:t>
              </w:r>
            </w:hyperlink>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725" w:type="dxa"/>
            <w:tcBorders/>
            <w:vAlign w:val="center"/>
          </w:tcPr>
          <w:p>
            <w:pPr>
              <w:pStyle w:val="TableContents"/>
              <w:bidi w:val="0"/>
              <w:spacing w:before="0" w:after="283"/>
              <w:jc w:val="left"/>
              <w:rPr>
                <w:caps w:val="false"/>
                <w:smallCaps w:val="false"/>
              </w:rPr>
            </w:pPr>
            <w:r>
              <w:rPr>
                <w:caps w:val="false"/>
                <w:smallCaps w:val="false"/>
              </w:rPr>
              <w:t> </w:t>
            </w:r>
          </w:p>
        </w:tc>
        <w:tc>
          <w:tcPr>
            <w:tcW w:w="9050" w:type="dxa"/>
            <w:tcBorders/>
            <w:vAlign w:val="center"/>
          </w:tcPr>
          <w:p>
            <w:pPr>
              <w:pStyle w:val="TableContents"/>
              <w:bidi w:val="0"/>
              <w:spacing w:before="0" w:after="283"/>
              <w:jc w:val="left"/>
              <w:rPr/>
            </w:pPr>
            <w:hyperlink w:anchor="solesence10ka013">
              <w:r>
                <w:rPr>
                  <w:rStyle w:val="InternetLink"/>
                  <w:rFonts w:ascii="Times New Roman;Times;Serif" w:hAnsi="Times New Roman;Times;Serif"/>
                  <w:b w:val="false"/>
                  <w:i w:val="false"/>
                  <w:caps w:val="false"/>
                  <w:smallCaps w:val="false"/>
                  <w:sz w:val="20"/>
                </w:rPr>
                <w:t>Competition</w:t>
              </w:r>
            </w:hyperlink>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725" w:type="dxa"/>
            <w:tcBorders/>
            <w:vAlign w:val="center"/>
          </w:tcPr>
          <w:p>
            <w:pPr>
              <w:pStyle w:val="TableContents"/>
              <w:bidi w:val="0"/>
              <w:spacing w:before="0" w:after="283"/>
              <w:jc w:val="left"/>
              <w:rPr>
                <w:caps w:val="false"/>
                <w:smallCaps w:val="false"/>
              </w:rPr>
            </w:pPr>
            <w:r>
              <w:rPr>
                <w:caps w:val="false"/>
                <w:smallCaps w:val="false"/>
              </w:rPr>
              <w:t> </w:t>
            </w:r>
          </w:p>
        </w:tc>
        <w:tc>
          <w:tcPr>
            <w:tcW w:w="9050" w:type="dxa"/>
            <w:tcBorders/>
            <w:vAlign w:val="center"/>
          </w:tcPr>
          <w:p>
            <w:pPr>
              <w:pStyle w:val="TableContents"/>
              <w:bidi w:val="0"/>
              <w:spacing w:before="0" w:after="283"/>
              <w:jc w:val="left"/>
              <w:rPr/>
            </w:pPr>
            <w:hyperlink w:anchor="solesence10ka014">
              <w:r>
                <w:rPr>
                  <w:rStyle w:val="InternetLink"/>
                  <w:rFonts w:ascii="Times New Roman;Times;Serif" w:hAnsi="Times New Roman;Times;Serif"/>
                  <w:b w:val="false"/>
                  <w:i w:val="false"/>
                  <w:caps w:val="false"/>
                  <w:smallCaps w:val="false"/>
                  <w:sz w:val="20"/>
                </w:rPr>
                <w:t>Governmental Regulations, Including Climate Change</w:t>
              </w:r>
            </w:hyperlink>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r>
        <w:trPr/>
        <w:tc>
          <w:tcPr>
            <w:tcW w:w="725" w:type="dxa"/>
            <w:tcBorders/>
            <w:vAlign w:val="center"/>
          </w:tcPr>
          <w:p>
            <w:pPr>
              <w:pStyle w:val="TableContents"/>
              <w:bidi w:val="0"/>
              <w:spacing w:before="0" w:after="283"/>
              <w:jc w:val="left"/>
              <w:rPr>
                <w:caps w:val="false"/>
                <w:smallCaps w:val="false"/>
              </w:rPr>
            </w:pPr>
            <w:r>
              <w:rPr>
                <w:caps w:val="false"/>
                <w:smallCaps w:val="false"/>
              </w:rPr>
              <w:t> </w:t>
            </w:r>
          </w:p>
        </w:tc>
        <w:tc>
          <w:tcPr>
            <w:tcW w:w="9050" w:type="dxa"/>
            <w:tcBorders/>
            <w:vAlign w:val="center"/>
          </w:tcPr>
          <w:p>
            <w:pPr>
              <w:pStyle w:val="TableContents"/>
              <w:bidi w:val="0"/>
              <w:spacing w:before="0" w:after="283"/>
              <w:jc w:val="left"/>
              <w:rPr/>
            </w:pPr>
            <w:hyperlink w:anchor="solesence10ka015">
              <w:r>
                <w:rPr>
                  <w:rStyle w:val="InternetLink"/>
                  <w:rFonts w:ascii="Times New Roman;Times;Serif" w:hAnsi="Times New Roman;Times;Serif"/>
                  <w:b w:val="false"/>
                  <w:i w:val="false"/>
                  <w:caps w:val="false"/>
                  <w:smallCaps w:val="false"/>
                  <w:sz w:val="20"/>
                </w:rPr>
                <w:t>Employees</w:t>
              </w:r>
            </w:hyperlink>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r>
        <w:trPr/>
        <w:tc>
          <w:tcPr>
            <w:tcW w:w="725" w:type="dxa"/>
            <w:tcBorders/>
            <w:vAlign w:val="center"/>
          </w:tcPr>
          <w:p>
            <w:pPr>
              <w:pStyle w:val="TableContents"/>
              <w:bidi w:val="0"/>
              <w:spacing w:before="0" w:after="283"/>
              <w:jc w:val="left"/>
              <w:rPr>
                <w:caps w:val="false"/>
                <w:smallCaps w:val="false"/>
              </w:rPr>
            </w:pPr>
            <w:r>
              <w:rPr>
                <w:caps w:val="false"/>
                <w:smallCaps w:val="false"/>
              </w:rPr>
              <w:t> </w:t>
            </w:r>
          </w:p>
        </w:tc>
        <w:tc>
          <w:tcPr>
            <w:tcW w:w="9050" w:type="dxa"/>
            <w:tcBorders/>
            <w:vAlign w:val="center"/>
          </w:tcPr>
          <w:p>
            <w:pPr>
              <w:pStyle w:val="TableContents"/>
              <w:bidi w:val="0"/>
              <w:spacing w:before="0" w:after="283"/>
              <w:jc w:val="left"/>
              <w:rPr/>
            </w:pPr>
            <w:hyperlink w:anchor="solesence10ka016">
              <w:r>
                <w:rPr>
                  <w:rStyle w:val="InternetLink"/>
                  <w:rFonts w:ascii="Times New Roman;Times;Serif" w:hAnsi="Times New Roman;Times;Serif"/>
                  <w:b w:val="false"/>
                  <w:i w:val="false"/>
                  <w:caps w:val="false"/>
                  <w:smallCaps w:val="false"/>
                  <w:sz w:val="20"/>
                </w:rPr>
                <w:t>Backlog</w:t>
              </w:r>
            </w:hyperlink>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r>
        <w:trPr/>
        <w:tc>
          <w:tcPr>
            <w:tcW w:w="725" w:type="dxa"/>
            <w:tcBorders/>
            <w:vAlign w:val="center"/>
          </w:tcPr>
          <w:p>
            <w:pPr>
              <w:pStyle w:val="TableContents"/>
              <w:bidi w:val="0"/>
              <w:spacing w:before="0" w:after="283"/>
              <w:jc w:val="left"/>
              <w:rPr>
                <w:caps w:val="false"/>
                <w:smallCaps w:val="false"/>
              </w:rPr>
            </w:pPr>
            <w:r>
              <w:rPr>
                <w:caps w:val="false"/>
                <w:smallCaps w:val="false"/>
              </w:rPr>
              <w:t> </w:t>
            </w:r>
          </w:p>
        </w:tc>
        <w:tc>
          <w:tcPr>
            <w:tcW w:w="9050" w:type="dxa"/>
            <w:tcBorders/>
            <w:vAlign w:val="center"/>
          </w:tcPr>
          <w:p>
            <w:pPr>
              <w:pStyle w:val="TableContents"/>
              <w:bidi w:val="0"/>
              <w:spacing w:before="0" w:after="283"/>
              <w:jc w:val="left"/>
              <w:rPr/>
            </w:pPr>
            <w:hyperlink w:anchor="solesence10ka017">
              <w:r>
                <w:rPr>
                  <w:rStyle w:val="InternetLink"/>
                  <w:rFonts w:ascii="Times New Roman;Times;Serif" w:hAnsi="Times New Roman;Times;Serif"/>
                  <w:b w:val="false"/>
                  <w:i w:val="false"/>
                  <w:caps w:val="false"/>
                  <w:smallCaps w:val="false"/>
                  <w:sz w:val="20"/>
                </w:rPr>
                <w:t>Business Segment and Geographical Information</w:t>
              </w:r>
            </w:hyperlink>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r>
        <w:trPr/>
        <w:tc>
          <w:tcPr>
            <w:tcW w:w="725" w:type="dxa"/>
            <w:tcBorders/>
            <w:vAlign w:val="center"/>
          </w:tcPr>
          <w:p>
            <w:pPr>
              <w:pStyle w:val="TableContents"/>
              <w:bidi w:val="0"/>
              <w:spacing w:before="0" w:after="283"/>
              <w:jc w:val="left"/>
              <w:rPr>
                <w:caps w:val="false"/>
                <w:smallCaps w:val="false"/>
              </w:rPr>
            </w:pPr>
            <w:r>
              <w:rPr>
                <w:caps w:val="false"/>
                <w:smallCaps w:val="false"/>
              </w:rPr>
              <w:t> </w:t>
            </w:r>
          </w:p>
        </w:tc>
        <w:tc>
          <w:tcPr>
            <w:tcW w:w="9050" w:type="dxa"/>
            <w:tcBorders/>
            <w:vAlign w:val="center"/>
          </w:tcPr>
          <w:p>
            <w:pPr>
              <w:pStyle w:val="TableContents"/>
              <w:bidi w:val="0"/>
              <w:spacing w:before="0" w:after="283"/>
              <w:jc w:val="left"/>
              <w:rPr/>
            </w:pPr>
            <w:hyperlink w:anchor="solesence10ka018">
              <w:r>
                <w:rPr>
                  <w:rStyle w:val="InternetLink"/>
                  <w:rFonts w:ascii="Times New Roman;Times;Serif" w:hAnsi="Times New Roman;Times;Serif"/>
                  <w:b w:val="false"/>
                  <w:i w:val="false"/>
                  <w:caps w:val="false"/>
                  <w:smallCaps w:val="false"/>
                  <w:sz w:val="20"/>
                </w:rPr>
                <w:t>Key Customers</w:t>
              </w:r>
            </w:hyperlink>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725" w:type="dxa"/>
            <w:tcBorders/>
            <w:vAlign w:val="center"/>
          </w:tcPr>
          <w:p>
            <w:pPr>
              <w:pStyle w:val="TableContents"/>
              <w:bidi w:val="0"/>
              <w:spacing w:before="0" w:after="283"/>
              <w:jc w:val="left"/>
              <w:rPr>
                <w:caps w:val="false"/>
                <w:smallCaps w:val="false"/>
              </w:rPr>
            </w:pPr>
            <w:r>
              <w:rPr>
                <w:caps w:val="false"/>
                <w:smallCaps w:val="false"/>
              </w:rPr>
              <w:t> </w:t>
            </w:r>
          </w:p>
        </w:tc>
        <w:tc>
          <w:tcPr>
            <w:tcW w:w="9050" w:type="dxa"/>
            <w:tcBorders/>
            <w:vAlign w:val="center"/>
          </w:tcPr>
          <w:p>
            <w:pPr>
              <w:pStyle w:val="TableContents"/>
              <w:bidi w:val="0"/>
              <w:spacing w:before="0" w:after="283"/>
              <w:jc w:val="left"/>
              <w:rPr/>
            </w:pPr>
            <w:hyperlink w:anchor="solesence10ka019">
              <w:r>
                <w:rPr>
                  <w:rStyle w:val="InternetLink"/>
                  <w:rFonts w:ascii="Times New Roman;Times;Serif" w:hAnsi="Times New Roman;Times;Serif"/>
                  <w:b w:val="false"/>
                  <w:i w:val="false"/>
                  <w:caps w:val="false"/>
                  <w:smallCaps w:val="false"/>
                  <w:sz w:val="20"/>
                </w:rPr>
                <w:t>Forward-Looking Statements</w:t>
              </w:r>
            </w:hyperlink>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725" w:type="dxa"/>
            <w:tcBorders/>
            <w:vAlign w:val="center"/>
          </w:tcPr>
          <w:p>
            <w:pPr>
              <w:pStyle w:val="TableContents"/>
              <w:bidi w:val="0"/>
              <w:spacing w:before="0" w:after="283"/>
              <w:jc w:val="left"/>
              <w:rPr>
                <w:caps w:val="false"/>
                <w:smallCaps w:val="false"/>
              </w:rPr>
            </w:pPr>
            <w:r>
              <w:rPr>
                <w:caps w:val="false"/>
                <w:smallCaps w:val="false"/>
              </w:rPr>
              <w:t> </w:t>
            </w:r>
          </w:p>
        </w:tc>
        <w:tc>
          <w:tcPr>
            <w:tcW w:w="9050" w:type="dxa"/>
            <w:tcBorders/>
            <w:vAlign w:val="center"/>
          </w:tcPr>
          <w:p>
            <w:pPr>
              <w:pStyle w:val="TableContents"/>
              <w:bidi w:val="0"/>
              <w:spacing w:before="0" w:after="283"/>
              <w:jc w:val="left"/>
              <w:rPr/>
            </w:pPr>
            <w:hyperlink w:anchor="solesence10ka020">
              <w:r>
                <w:rPr>
                  <w:rStyle w:val="InternetLink"/>
                  <w:rFonts w:ascii="Times New Roman;Times;Serif" w:hAnsi="Times New Roman;Times;Serif"/>
                  <w:b w:val="false"/>
                  <w:i w:val="false"/>
                  <w:caps w:val="false"/>
                  <w:smallCaps w:val="false"/>
                  <w:sz w:val="20"/>
                </w:rPr>
                <w:t>Investor Information</w:t>
              </w:r>
            </w:hyperlink>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725" w:type="dxa"/>
            <w:tcBorders/>
            <w:vAlign w:val="center"/>
          </w:tcPr>
          <w:p>
            <w:pPr>
              <w:pStyle w:val="TableContents"/>
              <w:bidi w:val="0"/>
              <w:spacing w:before="0" w:after="283"/>
              <w:jc w:val="left"/>
              <w:rPr/>
            </w:pPr>
            <w:hyperlink w:anchor="solesence10ka021">
              <w:r>
                <w:rPr>
                  <w:rStyle w:val="InternetLink"/>
                  <w:rFonts w:ascii="Times New Roman;Times;Serif" w:hAnsi="Times New Roman;Times;Serif"/>
                  <w:b w:val="false"/>
                  <w:i w:val="false"/>
                  <w:caps w:val="false"/>
                  <w:smallCaps w:val="false"/>
                  <w:sz w:val="20"/>
                </w:rPr>
                <w:t>Item 1A.</w:t>
              </w:r>
            </w:hyperlink>
          </w:p>
        </w:tc>
        <w:tc>
          <w:tcPr>
            <w:tcW w:w="9050" w:type="dxa"/>
            <w:tcBorders/>
            <w:vAlign w:val="center"/>
          </w:tcPr>
          <w:p>
            <w:pPr>
              <w:pStyle w:val="TableContents"/>
              <w:bidi w:val="0"/>
              <w:spacing w:before="0" w:after="283"/>
              <w:jc w:val="left"/>
              <w:rPr/>
            </w:pPr>
            <w:hyperlink w:anchor="solesence10ka021">
              <w:r>
                <w:rPr>
                  <w:rStyle w:val="InternetLink"/>
                  <w:rFonts w:ascii="Times New Roman;Times;Serif" w:hAnsi="Times New Roman;Times;Serif"/>
                  <w:b w:val="false"/>
                  <w:i w:val="false"/>
                  <w:caps w:val="false"/>
                  <w:smallCaps w:val="false"/>
                  <w:sz w:val="20"/>
                </w:rPr>
                <w:t>Risk Factors</w:t>
              </w:r>
            </w:hyperlink>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725" w:type="dxa"/>
            <w:tcBorders/>
            <w:vAlign w:val="center"/>
          </w:tcPr>
          <w:p>
            <w:pPr>
              <w:pStyle w:val="TableContents"/>
              <w:bidi w:val="0"/>
              <w:spacing w:before="0" w:after="283"/>
              <w:jc w:val="left"/>
              <w:rPr/>
            </w:pPr>
            <w:hyperlink w:anchor="solesence10ka022">
              <w:r>
                <w:rPr>
                  <w:rStyle w:val="InternetLink"/>
                  <w:rFonts w:ascii="Times New Roman;Times;Serif" w:hAnsi="Times New Roman;Times;Serif"/>
                  <w:b w:val="false"/>
                  <w:i w:val="false"/>
                  <w:caps w:val="false"/>
                  <w:smallCaps w:val="false"/>
                  <w:sz w:val="20"/>
                </w:rPr>
                <w:t>Item 1B.</w:t>
              </w:r>
            </w:hyperlink>
          </w:p>
        </w:tc>
        <w:tc>
          <w:tcPr>
            <w:tcW w:w="9050" w:type="dxa"/>
            <w:tcBorders/>
            <w:vAlign w:val="center"/>
          </w:tcPr>
          <w:p>
            <w:pPr>
              <w:pStyle w:val="TableContents"/>
              <w:bidi w:val="0"/>
              <w:spacing w:before="0" w:after="283"/>
              <w:jc w:val="left"/>
              <w:rPr/>
            </w:pPr>
            <w:hyperlink w:anchor="solesence10ka022">
              <w:r>
                <w:rPr>
                  <w:rStyle w:val="InternetLink"/>
                  <w:rFonts w:ascii="Times New Roman;Times;Serif" w:hAnsi="Times New Roman;Times;Serif"/>
                  <w:b w:val="false"/>
                  <w:i w:val="false"/>
                  <w:caps w:val="false"/>
                  <w:smallCaps w:val="false"/>
                  <w:sz w:val="20"/>
                </w:rPr>
                <w:t>Unresolved Staff Comments</w:t>
              </w:r>
            </w:hyperlink>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725" w:type="dxa"/>
            <w:tcBorders/>
            <w:vAlign w:val="center"/>
          </w:tcPr>
          <w:p>
            <w:pPr>
              <w:pStyle w:val="TableContents"/>
              <w:bidi w:val="0"/>
              <w:spacing w:before="0" w:after="283"/>
              <w:jc w:val="left"/>
              <w:rPr/>
            </w:pPr>
            <w:hyperlink w:anchor="solesence10ka023">
              <w:r>
                <w:rPr>
                  <w:rStyle w:val="InternetLink"/>
                  <w:rFonts w:ascii="Times New Roman;Times;Serif" w:hAnsi="Times New Roman;Times;Serif"/>
                  <w:b w:val="false"/>
                  <w:i w:val="false"/>
                  <w:caps w:val="false"/>
                  <w:smallCaps w:val="false"/>
                  <w:sz w:val="20"/>
                </w:rPr>
                <w:t>Item 1C.</w:t>
              </w:r>
            </w:hyperlink>
          </w:p>
        </w:tc>
        <w:tc>
          <w:tcPr>
            <w:tcW w:w="9050" w:type="dxa"/>
            <w:tcBorders/>
            <w:vAlign w:val="center"/>
          </w:tcPr>
          <w:p>
            <w:pPr>
              <w:pStyle w:val="TableContents"/>
              <w:bidi w:val="0"/>
              <w:spacing w:before="0" w:after="283"/>
              <w:jc w:val="left"/>
              <w:rPr/>
            </w:pPr>
            <w:hyperlink w:anchor="solesence10ka023">
              <w:r>
                <w:rPr>
                  <w:rStyle w:val="InternetLink"/>
                  <w:rFonts w:ascii="Times New Roman;Times;Serif" w:hAnsi="Times New Roman;Times;Serif"/>
                  <w:b w:val="false"/>
                  <w:i w:val="false"/>
                  <w:caps w:val="false"/>
                  <w:smallCaps w:val="false"/>
                  <w:sz w:val="20"/>
                </w:rPr>
                <w:t>Cybersecurity</w:t>
              </w:r>
            </w:hyperlink>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725" w:type="dxa"/>
            <w:tcBorders/>
            <w:vAlign w:val="center"/>
          </w:tcPr>
          <w:p>
            <w:pPr>
              <w:pStyle w:val="TableContents"/>
              <w:bidi w:val="0"/>
              <w:spacing w:before="0" w:after="283"/>
              <w:jc w:val="left"/>
              <w:rPr/>
            </w:pPr>
            <w:hyperlink w:anchor="solesence10ka024">
              <w:r>
                <w:rPr>
                  <w:rStyle w:val="InternetLink"/>
                  <w:rFonts w:ascii="Times New Roman;Times;Serif" w:hAnsi="Times New Roman;Times;Serif"/>
                  <w:b w:val="false"/>
                  <w:i w:val="false"/>
                  <w:caps w:val="false"/>
                  <w:smallCaps w:val="false"/>
                  <w:sz w:val="20"/>
                </w:rPr>
                <w:t>Item 2.</w:t>
              </w:r>
            </w:hyperlink>
          </w:p>
        </w:tc>
        <w:tc>
          <w:tcPr>
            <w:tcW w:w="9050" w:type="dxa"/>
            <w:tcBorders/>
            <w:vAlign w:val="center"/>
          </w:tcPr>
          <w:p>
            <w:pPr>
              <w:pStyle w:val="TableContents"/>
              <w:bidi w:val="0"/>
              <w:spacing w:before="0" w:after="283"/>
              <w:jc w:val="left"/>
              <w:rPr/>
            </w:pPr>
            <w:hyperlink w:anchor="solesence10ka024">
              <w:r>
                <w:rPr>
                  <w:rStyle w:val="InternetLink"/>
                  <w:rFonts w:ascii="Times New Roman;Times;Serif" w:hAnsi="Times New Roman;Times;Serif"/>
                  <w:b w:val="false"/>
                  <w:i w:val="false"/>
                  <w:caps w:val="false"/>
                  <w:smallCaps w:val="false"/>
                  <w:sz w:val="20"/>
                </w:rPr>
                <w:t>Properties</w:t>
              </w:r>
            </w:hyperlink>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725" w:type="dxa"/>
            <w:tcBorders/>
            <w:vAlign w:val="center"/>
          </w:tcPr>
          <w:p>
            <w:pPr>
              <w:pStyle w:val="TableContents"/>
              <w:bidi w:val="0"/>
              <w:spacing w:before="0" w:after="283"/>
              <w:jc w:val="left"/>
              <w:rPr/>
            </w:pPr>
            <w:hyperlink w:anchor="solesence10ka025">
              <w:r>
                <w:rPr>
                  <w:rStyle w:val="InternetLink"/>
                  <w:rFonts w:ascii="Times New Roman;Times;Serif" w:hAnsi="Times New Roman;Times;Serif"/>
                  <w:b w:val="false"/>
                  <w:i w:val="false"/>
                  <w:caps w:val="false"/>
                  <w:smallCaps w:val="false"/>
                  <w:sz w:val="20"/>
                </w:rPr>
                <w:t>Item 3.</w:t>
              </w:r>
            </w:hyperlink>
          </w:p>
        </w:tc>
        <w:tc>
          <w:tcPr>
            <w:tcW w:w="9050" w:type="dxa"/>
            <w:tcBorders/>
            <w:vAlign w:val="center"/>
          </w:tcPr>
          <w:p>
            <w:pPr>
              <w:pStyle w:val="TableContents"/>
              <w:bidi w:val="0"/>
              <w:spacing w:before="0" w:after="283"/>
              <w:jc w:val="left"/>
              <w:rPr/>
            </w:pPr>
            <w:hyperlink w:anchor="solesence10ka025">
              <w:r>
                <w:rPr>
                  <w:rStyle w:val="InternetLink"/>
                  <w:rFonts w:ascii="Times New Roman;Times;Serif" w:hAnsi="Times New Roman;Times;Serif"/>
                  <w:b w:val="false"/>
                  <w:i w:val="false"/>
                  <w:caps w:val="false"/>
                  <w:smallCaps w:val="false"/>
                  <w:sz w:val="20"/>
                </w:rPr>
                <w:t>Legal Proceedings</w:t>
              </w:r>
            </w:hyperlink>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r>
      <w:tr>
        <w:trPr/>
        <w:tc>
          <w:tcPr>
            <w:tcW w:w="725" w:type="dxa"/>
            <w:tcBorders/>
            <w:vAlign w:val="center"/>
          </w:tcPr>
          <w:p>
            <w:pPr>
              <w:pStyle w:val="TableContents"/>
              <w:bidi w:val="0"/>
              <w:spacing w:before="0" w:after="283"/>
              <w:jc w:val="left"/>
              <w:rPr/>
            </w:pPr>
            <w:hyperlink w:anchor="solesence10ka026">
              <w:r>
                <w:rPr>
                  <w:rStyle w:val="InternetLink"/>
                  <w:rFonts w:ascii="Times New Roman;Times;Serif" w:hAnsi="Times New Roman;Times;Serif"/>
                  <w:b w:val="false"/>
                  <w:i w:val="false"/>
                  <w:caps w:val="false"/>
                  <w:smallCaps w:val="false"/>
                  <w:sz w:val="20"/>
                </w:rPr>
                <w:t>Item 4.</w:t>
              </w:r>
            </w:hyperlink>
          </w:p>
        </w:tc>
        <w:tc>
          <w:tcPr>
            <w:tcW w:w="9050" w:type="dxa"/>
            <w:tcBorders/>
            <w:vAlign w:val="center"/>
          </w:tcPr>
          <w:p>
            <w:pPr>
              <w:pStyle w:val="TableContents"/>
              <w:bidi w:val="0"/>
              <w:spacing w:before="0" w:after="283"/>
              <w:jc w:val="left"/>
              <w:rPr/>
            </w:pPr>
            <w:hyperlink w:anchor="solesence10ka026">
              <w:r>
                <w:rPr>
                  <w:rStyle w:val="InternetLink"/>
                  <w:rFonts w:ascii="Times New Roman;Times;Serif" w:hAnsi="Times New Roman;Times;Serif"/>
                  <w:b w:val="false"/>
                  <w:i w:val="false"/>
                  <w:caps w:val="false"/>
                  <w:smallCaps w:val="false"/>
                  <w:sz w:val="20"/>
                </w:rPr>
                <w:t>Mine Safety Disclosures</w:t>
              </w:r>
            </w:hyperlink>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r>
      <w:tr>
        <w:trPr/>
        <w:tc>
          <w:tcPr>
            <w:tcW w:w="725" w:type="dxa"/>
            <w:tcBorders/>
            <w:vAlign w:val="center"/>
          </w:tcPr>
          <w:p>
            <w:pPr>
              <w:pStyle w:val="TableContents"/>
              <w:bidi w:val="0"/>
              <w:spacing w:before="0" w:after="283"/>
              <w:jc w:val="left"/>
              <w:rPr>
                <w:caps w:val="false"/>
                <w:smallCaps w:val="false"/>
              </w:rPr>
            </w:pPr>
            <w:r>
              <w:rPr>
                <w:caps w:val="false"/>
                <w:smallCaps w:val="false"/>
              </w:rPr>
              <w:t> </w:t>
            </w:r>
          </w:p>
        </w:tc>
        <w:tc>
          <w:tcPr>
            <w:tcW w:w="9050"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725" w:type="dxa"/>
            <w:tcBorders/>
            <w:vAlign w:val="center"/>
          </w:tcPr>
          <w:p>
            <w:pPr>
              <w:pStyle w:val="TableContents"/>
              <w:bidi w:val="0"/>
              <w:spacing w:before="0" w:after="283"/>
              <w:jc w:val="left"/>
              <w:rPr>
                <w:caps w:val="false"/>
                <w:smallCaps w:val="false"/>
              </w:rPr>
            </w:pPr>
            <w:r>
              <w:rPr>
                <w:caps w:val="false"/>
                <w:smallCaps w:val="false"/>
              </w:rPr>
              <w:t> </w:t>
            </w:r>
          </w:p>
        </w:tc>
        <w:tc>
          <w:tcPr>
            <w:tcW w:w="9050" w:type="dxa"/>
            <w:tcBorders/>
            <w:vAlign w:val="center"/>
          </w:tcPr>
          <w:p>
            <w:pPr>
              <w:pStyle w:val="TableContents"/>
              <w:bidi w:val="0"/>
              <w:spacing w:before="0" w:after="283"/>
              <w:jc w:val="center"/>
              <w:rPr/>
            </w:pPr>
            <w:hyperlink w:anchor="solesence10ka027">
              <w:r>
                <w:rPr>
                  <w:rStyle w:val="InternetLink"/>
                  <w:rFonts w:ascii="Times New Roman;Times;Serif" w:hAnsi="Times New Roman;Times;Serif"/>
                  <w:b/>
                  <w:i w:val="false"/>
                  <w:caps w:val="false"/>
                  <w:smallCaps w:val="false"/>
                  <w:sz w:val="20"/>
                </w:rPr>
                <w:t>PART II</w:t>
              </w:r>
            </w:hyperlink>
          </w:p>
        </w:tc>
        <w:tc>
          <w:tcPr>
            <w:tcW w:w="24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725" w:type="dxa"/>
            <w:tcBorders/>
            <w:vAlign w:val="center"/>
          </w:tcPr>
          <w:p>
            <w:pPr>
              <w:pStyle w:val="TableContents"/>
              <w:bidi w:val="0"/>
              <w:spacing w:before="0" w:after="283"/>
              <w:jc w:val="left"/>
              <w:rPr>
                <w:caps w:val="false"/>
                <w:smallCaps w:val="false"/>
              </w:rPr>
            </w:pPr>
            <w:r>
              <w:rPr>
                <w:caps w:val="false"/>
                <w:smallCaps w:val="false"/>
              </w:rPr>
              <w:t> </w:t>
            </w:r>
          </w:p>
        </w:tc>
        <w:tc>
          <w:tcPr>
            <w:tcW w:w="9050" w:type="dxa"/>
            <w:tcBorders/>
            <w:vAlign w:val="center"/>
          </w:tcPr>
          <w:p>
            <w:pPr>
              <w:pStyle w:val="TableContents"/>
              <w:bidi w:val="0"/>
              <w:spacing w:before="0" w:after="283"/>
              <w:jc w:val="center"/>
              <w:rPr>
                <w:caps w:val="false"/>
                <w:smallCaps w:val="false"/>
              </w:rPr>
            </w:pPr>
            <w:r>
              <w:rPr>
                <w:caps w:val="false"/>
                <w:smallCaps w:val="false"/>
              </w:rPr>
              <w:t> </w:t>
            </w:r>
          </w:p>
        </w:tc>
        <w:tc>
          <w:tcPr>
            <w:tcW w:w="24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725" w:type="dxa"/>
            <w:tcBorders/>
            <w:vAlign w:val="center"/>
          </w:tcPr>
          <w:p>
            <w:pPr>
              <w:pStyle w:val="TableContents"/>
              <w:bidi w:val="0"/>
              <w:spacing w:before="0" w:after="283"/>
              <w:jc w:val="left"/>
              <w:rPr/>
            </w:pPr>
            <w:hyperlink w:anchor="solesence10ka028">
              <w:r>
                <w:rPr>
                  <w:rStyle w:val="InternetLink"/>
                  <w:rFonts w:ascii="Times New Roman;Times;Serif" w:hAnsi="Times New Roman;Times;Serif"/>
                  <w:b w:val="false"/>
                  <w:i w:val="false"/>
                  <w:caps w:val="false"/>
                  <w:smallCaps w:val="false"/>
                  <w:sz w:val="20"/>
                </w:rPr>
                <w:t>Item 5.</w:t>
              </w:r>
            </w:hyperlink>
          </w:p>
        </w:tc>
        <w:tc>
          <w:tcPr>
            <w:tcW w:w="9050" w:type="dxa"/>
            <w:tcBorders/>
            <w:vAlign w:val="center"/>
          </w:tcPr>
          <w:p>
            <w:pPr>
              <w:pStyle w:val="TableContents"/>
              <w:bidi w:val="0"/>
              <w:spacing w:before="0" w:after="283"/>
              <w:jc w:val="left"/>
              <w:rPr/>
            </w:pPr>
            <w:hyperlink w:anchor="solesence10ka028">
              <w:r>
                <w:rPr>
                  <w:rStyle w:val="InternetLink"/>
                  <w:rFonts w:ascii="Times New Roman;Times;Serif" w:hAnsi="Times New Roman;Times;Serif"/>
                  <w:b w:val="false"/>
                  <w:i w:val="false"/>
                  <w:caps w:val="false"/>
                  <w:smallCaps w:val="false"/>
                  <w:sz w:val="20"/>
                </w:rPr>
                <w:t>Market for Registrant’s Common Equity, Related Stockholder Matters and Issuer Purchases of Equity Securities</w:t>
              </w:r>
            </w:hyperlink>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r>
      <w:tr>
        <w:trPr/>
        <w:tc>
          <w:tcPr>
            <w:tcW w:w="725" w:type="dxa"/>
            <w:tcBorders/>
            <w:vAlign w:val="center"/>
          </w:tcPr>
          <w:p>
            <w:pPr>
              <w:pStyle w:val="TableContents"/>
              <w:bidi w:val="0"/>
              <w:spacing w:before="0" w:after="283"/>
              <w:jc w:val="left"/>
              <w:rPr/>
            </w:pPr>
            <w:hyperlink w:anchor="solesence10ka029">
              <w:r>
                <w:rPr>
                  <w:rStyle w:val="InternetLink"/>
                  <w:rFonts w:ascii="Times New Roman;Times;Serif" w:hAnsi="Times New Roman;Times;Serif"/>
                  <w:b w:val="false"/>
                  <w:i w:val="false"/>
                  <w:caps w:val="false"/>
                  <w:smallCaps w:val="false"/>
                  <w:sz w:val="20"/>
                </w:rPr>
                <w:t>Item 6.</w:t>
              </w:r>
            </w:hyperlink>
          </w:p>
        </w:tc>
        <w:tc>
          <w:tcPr>
            <w:tcW w:w="9050" w:type="dxa"/>
            <w:tcBorders/>
            <w:vAlign w:val="center"/>
          </w:tcPr>
          <w:p>
            <w:pPr>
              <w:pStyle w:val="TableContents"/>
              <w:bidi w:val="0"/>
              <w:spacing w:before="0" w:after="283"/>
              <w:jc w:val="left"/>
              <w:rPr/>
            </w:pPr>
            <w:hyperlink w:anchor="solesence10ka029">
              <w:r>
                <w:rPr>
                  <w:rStyle w:val="InternetLink"/>
                  <w:rFonts w:ascii="Times New Roman;Times;Serif" w:hAnsi="Times New Roman;Times;Serif"/>
                  <w:b w:val="false"/>
                  <w:i w:val="false"/>
                  <w:caps w:val="false"/>
                  <w:smallCaps w:val="false"/>
                  <w:sz w:val="20"/>
                </w:rPr>
                <w:t>Selected Financial Data</w:t>
              </w:r>
            </w:hyperlink>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r>
      <w:tr>
        <w:trPr/>
        <w:tc>
          <w:tcPr>
            <w:tcW w:w="725" w:type="dxa"/>
            <w:tcBorders/>
            <w:vAlign w:val="center"/>
          </w:tcPr>
          <w:p>
            <w:pPr>
              <w:pStyle w:val="TableContents"/>
              <w:bidi w:val="0"/>
              <w:spacing w:before="0" w:after="283"/>
              <w:jc w:val="left"/>
              <w:rPr/>
            </w:pPr>
            <w:hyperlink w:anchor="solesence10ka030">
              <w:r>
                <w:rPr>
                  <w:rStyle w:val="InternetLink"/>
                  <w:rFonts w:ascii="Times New Roman;Times;Serif" w:hAnsi="Times New Roman;Times;Serif"/>
                  <w:b w:val="false"/>
                  <w:i w:val="false"/>
                  <w:caps w:val="false"/>
                  <w:smallCaps w:val="false"/>
                  <w:sz w:val="20"/>
                </w:rPr>
                <w:t>Item 7.</w:t>
              </w:r>
            </w:hyperlink>
          </w:p>
        </w:tc>
        <w:tc>
          <w:tcPr>
            <w:tcW w:w="9050" w:type="dxa"/>
            <w:tcBorders/>
            <w:vAlign w:val="center"/>
          </w:tcPr>
          <w:p>
            <w:pPr>
              <w:pStyle w:val="TableContents"/>
              <w:bidi w:val="0"/>
              <w:spacing w:before="0" w:after="283"/>
              <w:jc w:val="left"/>
              <w:rPr/>
            </w:pPr>
            <w:hyperlink w:anchor="solesence10ka030">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r>
      <w:tr>
        <w:trPr/>
        <w:tc>
          <w:tcPr>
            <w:tcW w:w="725" w:type="dxa"/>
            <w:tcBorders/>
            <w:vAlign w:val="center"/>
          </w:tcPr>
          <w:p>
            <w:pPr>
              <w:pStyle w:val="TableContents"/>
              <w:bidi w:val="0"/>
              <w:spacing w:before="0" w:after="283"/>
              <w:jc w:val="left"/>
              <w:rPr/>
            </w:pPr>
            <w:hyperlink w:anchor="solesence10ka031">
              <w:r>
                <w:rPr>
                  <w:rStyle w:val="InternetLink"/>
                  <w:rFonts w:ascii="Times New Roman;Times;Serif" w:hAnsi="Times New Roman;Times;Serif"/>
                  <w:b w:val="false"/>
                  <w:i w:val="false"/>
                  <w:caps w:val="false"/>
                  <w:smallCaps w:val="false"/>
                  <w:sz w:val="20"/>
                </w:rPr>
                <w:t>Item 7A.</w:t>
              </w:r>
            </w:hyperlink>
          </w:p>
        </w:tc>
        <w:tc>
          <w:tcPr>
            <w:tcW w:w="9050" w:type="dxa"/>
            <w:tcBorders/>
            <w:vAlign w:val="center"/>
          </w:tcPr>
          <w:p>
            <w:pPr>
              <w:pStyle w:val="TableContents"/>
              <w:bidi w:val="0"/>
              <w:spacing w:before="0" w:after="283"/>
              <w:jc w:val="left"/>
              <w:rPr/>
            </w:pPr>
            <w:hyperlink w:anchor="solesence10ka031">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725" w:type="dxa"/>
            <w:tcBorders/>
            <w:vAlign w:val="center"/>
          </w:tcPr>
          <w:p>
            <w:pPr>
              <w:pStyle w:val="TableContents"/>
              <w:bidi w:val="0"/>
              <w:spacing w:before="0" w:after="283"/>
              <w:jc w:val="left"/>
              <w:rPr/>
            </w:pPr>
            <w:hyperlink w:anchor="solesence10ka032">
              <w:r>
                <w:rPr>
                  <w:rStyle w:val="InternetLink"/>
                  <w:rFonts w:ascii="Times New Roman;Times;Serif" w:hAnsi="Times New Roman;Times;Serif"/>
                  <w:b w:val="false"/>
                  <w:i w:val="false"/>
                  <w:caps w:val="false"/>
                  <w:smallCaps w:val="false"/>
                  <w:sz w:val="20"/>
                </w:rPr>
                <w:t>Item 8.</w:t>
              </w:r>
            </w:hyperlink>
          </w:p>
        </w:tc>
        <w:tc>
          <w:tcPr>
            <w:tcW w:w="9050" w:type="dxa"/>
            <w:tcBorders/>
            <w:vAlign w:val="center"/>
          </w:tcPr>
          <w:p>
            <w:pPr>
              <w:pStyle w:val="TableContents"/>
              <w:bidi w:val="0"/>
              <w:spacing w:before="0" w:after="283"/>
              <w:jc w:val="left"/>
              <w:rPr/>
            </w:pPr>
            <w:hyperlink w:anchor="solesence10ka032">
              <w:r>
                <w:rPr>
                  <w:rStyle w:val="InternetLink"/>
                  <w:rFonts w:ascii="Times New Roman;Times;Serif" w:hAnsi="Times New Roman;Times;Serif"/>
                  <w:b w:val="false"/>
                  <w:i w:val="false"/>
                  <w:caps w:val="false"/>
                  <w:smallCaps w:val="false"/>
                  <w:sz w:val="20"/>
                </w:rPr>
                <w:t>Financial Statements and Supplementary Data</w:t>
              </w:r>
            </w:hyperlink>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725" w:type="dxa"/>
            <w:tcBorders/>
            <w:vAlign w:val="center"/>
          </w:tcPr>
          <w:p>
            <w:pPr>
              <w:pStyle w:val="TableContents"/>
              <w:bidi w:val="0"/>
              <w:spacing w:before="0" w:after="283"/>
              <w:jc w:val="left"/>
              <w:rPr/>
            </w:pPr>
            <w:hyperlink w:anchor="solesence10ka033">
              <w:r>
                <w:rPr>
                  <w:rStyle w:val="InternetLink"/>
                  <w:rFonts w:ascii="Times New Roman;Times;Serif" w:hAnsi="Times New Roman;Times;Serif"/>
                  <w:b w:val="false"/>
                  <w:i w:val="false"/>
                  <w:caps w:val="false"/>
                  <w:smallCaps w:val="false"/>
                  <w:sz w:val="20"/>
                </w:rPr>
                <w:t>Item 9.</w:t>
              </w:r>
            </w:hyperlink>
          </w:p>
        </w:tc>
        <w:tc>
          <w:tcPr>
            <w:tcW w:w="9050" w:type="dxa"/>
            <w:tcBorders/>
            <w:vAlign w:val="center"/>
          </w:tcPr>
          <w:p>
            <w:pPr>
              <w:pStyle w:val="TableContents"/>
              <w:bidi w:val="0"/>
              <w:spacing w:before="0" w:after="283"/>
              <w:jc w:val="left"/>
              <w:rPr/>
            </w:pPr>
            <w:hyperlink w:anchor="solesence10ka033">
              <w:r>
                <w:rPr>
                  <w:rStyle w:val="InternetLink"/>
                  <w:rFonts w:ascii="Times New Roman;Times;Serif" w:hAnsi="Times New Roman;Times;Serif"/>
                  <w:b w:val="false"/>
                  <w:i w:val="false"/>
                  <w:caps w:val="false"/>
                  <w:smallCaps w:val="false"/>
                  <w:sz w:val="20"/>
                </w:rPr>
                <w:t>Changes in and Disagreements with Accountants on Accounting and Financial Disclosure</w:t>
              </w:r>
            </w:hyperlink>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725" w:type="dxa"/>
            <w:tcBorders/>
            <w:vAlign w:val="center"/>
          </w:tcPr>
          <w:p>
            <w:pPr>
              <w:pStyle w:val="TableContents"/>
              <w:bidi w:val="0"/>
              <w:spacing w:before="0" w:after="283"/>
              <w:jc w:val="left"/>
              <w:rPr/>
            </w:pPr>
            <w:hyperlink w:anchor="solesence10ka034">
              <w:r>
                <w:rPr>
                  <w:rStyle w:val="InternetLink"/>
                  <w:rFonts w:ascii="Times New Roman;Times;Serif" w:hAnsi="Times New Roman;Times;Serif"/>
                  <w:b w:val="false"/>
                  <w:i w:val="false"/>
                  <w:caps w:val="false"/>
                  <w:smallCaps w:val="false"/>
                  <w:sz w:val="20"/>
                </w:rPr>
                <w:t>Item 9A.</w:t>
              </w:r>
            </w:hyperlink>
          </w:p>
        </w:tc>
        <w:tc>
          <w:tcPr>
            <w:tcW w:w="9050" w:type="dxa"/>
            <w:tcBorders/>
            <w:vAlign w:val="center"/>
          </w:tcPr>
          <w:p>
            <w:pPr>
              <w:pStyle w:val="TableContents"/>
              <w:bidi w:val="0"/>
              <w:spacing w:before="0" w:after="283"/>
              <w:jc w:val="left"/>
              <w:rPr/>
            </w:pPr>
            <w:hyperlink w:anchor="solesence10ka034">
              <w:r>
                <w:rPr>
                  <w:rStyle w:val="InternetLink"/>
                  <w:rFonts w:ascii="Times New Roman;Times;Serif" w:hAnsi="Times New Roman;Times;Serif"/>
                  <w:b w:val="false"/>
                  <w:i w:val="false"/>
                  <w:caps w:val="false"/>
                  <w:smallCaps w:val="false"/>
                  <w:sz w:val="20"/>
                </w:rPr>
                <w:t>Controls and Procedures</w:t>
              </w:r>
            </w:hyperlink>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725" w:type="dxa"/>
            <w:tcBorders/>
            <w:vAlign w:val="center"/>
          </w:tcPr>
          <w:p>
            <w:pPr>
              <w:pStyle w:val="TableContents"/>
              <w:bidi w:val="0"/>
              <w:spacing w:before="0" w:after="283"/>
              <w:jc w:val="left"/>
              <w:rPr/>
            </w:pPr>
            <w:hyperlink w:anchor="solesence10ka035">
              <w:r>
                <w:rPr>
                  <w:rStyle w:val="InternetLink"/>
                  <w:rFonts w:ascii="Times New Roman;Times;Serif" w:hAnsi="Times New Roman;Times;Serif"/>
                  <w:b w:val="false"/>
                  <w:i w:val="false"/>
                  <w:caps w:val="false"/>
                  <w:smallCaps w:val="false"/>
                  <w:sz w:val="20"/>
                </w:rPr>
                <w:t>Item 9B.</w:t>
              </w:r>
            </w:hyperlink>
          </w:p>
        </w:tc>
        <w:tc>
          <w:tcPr>
            <w:tcW w:w="9050" w:type="dxa"/>
            <w:tcBorders/>
            <w:vAlign w:val="center"/>
          </w:tcPr>
          <w:p>
            <w:pPr>
              <w:pStyle w:val="TableContents"/>
              <w:bidi w:val="0"/>
              <w:spacing w:before="0" w:after="283"/>
              <w:jc w:val="left"/>
              <w:rPr/>
            </w:pPr>
            <w:hyperlink w:anchor="solesence10ka035">
              <w:r>
                <w:rPr>
                  <w:rStyle w:val="InternetLink"/>
                  <w:rFonts w:ascii="Times New Roman;Times;Serif" w:hAnsi="Times New Roman;Times;Serif"/>
                  <w:b w:val="false"/>
                  <w:i w:val="false"/>
                  <w:caps w:val="false"/>
                  <w:smallCaps w:val="false"/>
                  <w:sz w:val="20"/>
                </w:rPr>
                <w:t>Other Information</w:t>
              </w:r>
            </w:hyperlink>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725" w:type="dxa"/>
            <w:tcBorders/>
            <w:vAlign w:val="center"/>
          </w:tcPr>
          <w:p>
            <w:pPr>
              <w:pStyle w:val="TableContents"/>
              <w:bidi w:val="0"/>
              <w:spacing w:before="0" w:after="283"/>
              <w:jc w:val="left"/>
              <w:rPr/>
            </w:pPr>
            <w:hyperlink w:anchor="solesence10ka036">
              <w:r>
                <w:rPr>
                  <w:rStyle w:val="InternetLink"/>
                  <w:rFonts w:ascii="Times New Roman;Times;Serif" w:hAnsi="Times New Roman;Times;Serif"/>
                  <w:b w:val="false"/>
                  <w:i w:val="false"/>
                  <w:caps w:val="false"/>
                  <w:smallCaps w:val="false"/>
                  <w:sz w:val="20"/>
                </w:rPr>
                <w:t>Item 9C</w:t>
              </w:r>
            </w:hyperlink>
          </w:p>
        </w:tc>
        <w:tc>
          <w:tcPr>
            <w:tcW w:w="9050" w:type="dxa"/>
            <w:tcBorders/>
            <w:vAlign w:val="center"/>
          </w:tcPr>
          <w:p>
            <w:pPr>
              <w:pStyle w:val="TableContents"/>
              <w:bidi w:val="0"/>
              <w:spacing w:before="0" w:after="283"/>
              <w:jc w:val="left"/>
              <w:rPr/>
            </w:pPr>
            <w:hyperlink w:anchor="solesence10ka036">
              <w:r>
                <w:rPr>
                  <w:rStyle w:val="InternetLink"/>
                  <w:rFonts w:ascii="Times New Roman;Times;Serif" w:hAnsi="Times New Roman;Times;Serif"/>
                  <w:b w:val="false"/>
                  <w:i w:val="false"/>
                  <w:caps w:val="false"/>
                  <w:smallCaps w:val="false"/>
                  <w:sz w:val="20"/>
                </w:rPr>
                <w:t>Disclosure Regarding Foreign Jurisdictions that Prevent Inspections</w:t>
              </w:r>
            </w:hyperlink>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725" w:type="dxa"/>
            <w:tcBorders/>
            <w:vAlign w:val="center"/>
          </w:tcPr>
          <w:p>
            <w:pPr>
              <w:pStyle w:val="TableContents"/>
              <w:bidi w:val="0"/>
              <w:spacing w:before="0" w:after="283"/>
              <w:jc w:val="left"/>
              <w:rPr>
                <w:caps w:val="false"/>
                <w:smallCaps w:val="false"/>
              </w:rPr>
            </w:pPr>
            <w:r>
              <w:rPr>
                <w:caps w:val="false"/>
                <w:smallCaps w:val="false"/>
              </w:rPr>
              <w:t> </w:t>
            </w:r>
          </w:p>
        </w:tc>
        <w:tc>
          <w:tcPr>
            <w:tcW w:w="9050"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725" w:type="dxa"/>
            <w:tcBorders/>
            <w:vAlign w:val="center"/>
          </w:tcPr>
          <w:p>
            <w:pPr>
              <w:pStyle w:val="TableContents"/>
              <w:bidi w:val="0"/>
              <w:spacing w:before="0" w:after="283"/>
              <w:jc w:val="left"/>
              <w:rPr>
                <w:caps w:val="false"/>
                <w:smallCaps w:val="false"/>
              </w:rPr>
            </w:pPr>
            <w:r>
              <w:rPr>
                <w:caps w:val="false"/>
                <w:smallCaps w:val="false"/>
              </w:rPr>
              <w:t> </w:t>
            </w:r>
          </w:p>
        </w:tc>
        <w:tc>
          <w:tcPr>
            <w:tcW w:w="9050" w:type="dxa"/>
            <w:tcBorders/>
            <w:vAlign w:val="center"/>
          </w:tcPr>
          <w:p>
            <w:pPr>
              <w:pStyle w:val="TableContents"/>
              <w:bidi w:val="0"/>
              <w:spacing w:before="0" w:after="283"/>
              <w:jc w:val="center"/>
              <w:rPr/>
            </w:pPr>
            <w:hyperlink w:anchor="solesence10ka037">
              <w:r>
                <w:rPr>
                  <w:rStyle w:val="InternetLink"/>
                  <w:rFonts w:ascii="Times New Roman;Times;Serif" w:hAnsi="Times New Roman;Times;Serif"/>
                  <w:b/>
                  <w:i w:val="false"/>
                  <w:caps w:val="false"/>
                  <w:smallCaps w:val="false"/>
                  <w:sz w:val="20"/>
                </w:rPr>
                <w:t>PART III</w:t>
              </w:r>
            </w:hyperlink>
          </w:p>
        </w:tc>
        <w:tc>
          <w:tcPr>
            <w:tcW w:w="24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725" w:type="dxa"/>
            <w:tcBorders/>
            <w:vAlign w:val="center"/>
          </w:tcPr>
          <w:p>
            <w:pPr>
              <w:pStyle w:val="TableContents"/>
              <w:bidi w:val="0"/>
              <w:spacing w:before="0" w:after="283"/>
              <w:jc w:val="left"/>
              <w:rPr>
                <w:caps w:val="false"/>
                <w:smallCaps w:val="false"/>
              </w:rPr>
            </w:pPr>
            <w:r>
              <w:rPr>
                <w:caps w:val="false"/>
                <w:smallCaps w:val="false"/>
              </w:rPr>
              <w:t> </w:t>
            </w:r>
          </w:p>
        </w:tc>
        <w:tc>
          <w:tcPr>
            <w:tcW w:w="9050"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725" w:type="dxa"/>
            <w:tcBorders/>
            <w:vAlign w:val="center"/>
          </w:tcPr>
          <w:p>
            <w:pPr>
              <w:pStyle w:val="TableContents"/>
              <w:bidi w:val="0"/>
              <w:spacing w:before="0" w:after="283"/>
              <w:jc w:val="left"/>
              <w:rPr/>
            </w:pPr>
            <w:hyperlink w:anchor="solesence10ka038">
              <w:r>
                <w:rPr>
                  <w:rStyle w:val="InternetLink"/>
                  <w:rFonts w:ascii="Times New Roman;Times;Serif" w:hAnsi="Times New Roman;Times;Serif"/>
                  <w:b w:val="false"/>
                  <w:i w:val="false"/>
                  <w:caps w:val="false"/>
                  <w:smallCaps w:val="false"/>
                  <w:sz w:val="20"/>
                </w:rPr>
                <w:t>Item 10.</w:t>
              </w:r>
            </w:hyperlink>
          </w:p>
        </w:tc>
        <w:tc>
          <w:tcPr>
            <w:tcW w:w="9050" w:type="dxa"/>
            <w:tcBorders/>
            <w:vAlign w:val="center"/>
          </w:tcPr>
          <w:p>
            <w:pPr>
              <w:pStyle w:val="TableContents"/>
              <w:bidi w:val="0"/>
              <w:spacing w:before="0" w:after="283"/>
              <w:jc w:val="left"/>
              <w:rPr/>
            </w:pPr>
            <w:hyperlink w:anchor="solesence10ka038">
              <w:r>
                <w:rPr>
                  <w:rStyle w:val="InternetLink"/>
                  <w:rFonts w:ascii="Times New Roman;Times;Serif" w:hAnsi="Times New Roman;Times;Serif"/>
                  <w:b w:val="false"/>
                  <w:i w:val="false"/>
                  <w:caps w:val="false"/>
                  <w:smallCaps w:val="false"/>
                  <w:sz w:val="20"/>
                </w:rPr>
                <w:t>Directors, Executive Officers and Corporate Governance</w:t>
              </w:r>
            </w:hyperlink>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r>
        <w:trPr/>
        <w:tc>
          <w:tcPr>
            <w:tcW w:w="725" w:type="dxa"/>
            <w:tcBorders/>
            <w:vAlign w:val="center"/>
          </w:tcPr>
          <w:p>
            <w:pPr>
              <w:pStyle w:val="TableContents"/>
              <w:bidi w:val="0"/>
              <w:spacing w:before="0" w:after="283"/>
              <w:jc w:val="left"/>
              <w:rPr/>
            </w:pPr>
            <w:hyperlink w:anchor="solesence10ka039">
              <w:r>
                <w:rPr>
                  <w:rStyle w:val="InternetLink"/>
                  <w:rFonts w:ascii="Times New Roman;Times;Serif" w:hAnsi="Times New Roman;Times;Serif"/>
                  <w:b w:val="false"/>
                  <w:i w:val="false"/>
                  <w:caps w:val="false"/>
                  <w:smallCaps w:val="false"/>
                  <w:sz w:val="20"/>
                </w:rPr>
                <w:t>Item 11.</w:t>
              </w:r>
            </w:hyperlink>
          </w:p>
        </w:tc>
        <w:tc>
          <w:tcPr>
            <w:tcW w:w="9050" w:type="dxa"/>
            <w:tcBorders/>
            <w:vAlign w:val="center"/>
          </w:tcPr>
          <w:p>
            <w:pPr>
              <w:pStyle w:val="TableContents"/>
              <w:bidi w:val="0"/>
              <w:spacing w:before="0" w:after="283"/>
              <w:jc w:val="left"/>
              <w:rPr/>
            </w:pPr>
            <w:hyperlink w:anchor="solesence10ka039">
              <w:r>
                <w:rPr>
                  <w:rStyle w:val="InternetLink"/>
                  <w:rFonts w:ascii="Times New Roman;Times;Serif" w:hAnsi="Times New Roman;Times;Serif"/>
                  <w:b w:val="false"/>
                  <w:i w:val="false"/>
                  <w:caps w:val="false"/>
                  <w:smallCaps w:val="false"/>
                  <w:sz w:val="20"/>
                </w:rPr>
                <w:t>Executive Compensation</w:t>
              </w:r>
            </w:hyperlink>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r>
        <w:trPr/>
        <w:tc>
          <w:tcPr>
            <w:tcW w:w="725" w:type="dxa"/>
            <w:tcBorders/>
            <w:vAlign w:val="center"/>
          </w:tcPr>
          <w:p>
            <w:pPr>
              <w:pStyle w:val="TableContents"/>
              <w:bidi w:val="0"/>
              <w:spacing w:before="0" w:after="283"/>
              <w:jc w:val="left"/>
              <w:rPr/>
            </w:pPr>
            <w:hyperlink w:anchor="solesence10ka040">
              <w:r>
                <w:rPr>
                  <w:rStyle w:val="InternetLink"/>
                  <w:rFonts w:ascii="Times New Roman;Times;Serif" w:hAnsi="Times New Roman;Times;Serif"/>
                  <w:b w:val="false"/>
                  <w:i w:val="false"/>
                  <w:caps w:val="false"/>
                  <w:smallCaps w:val="false"/>
                  <w:sz w:val="20"/>
                </w:rPr>
                <w:t>Item 12.</w:t>
              </w:r>
            </w:hyperlink>
          </w:p>
        </w:tc>
        <w:tc>
          <w:tcPr>
            <w:tcW w:w="9050" w:type="dxa"/>
            <w:tcBorders/>
            <w:vAlign w:val="center"/>
          </w:tcPr>
          <w:p>
            <w:pPr>
              <w:pStyle w:val="TableContents"/>
              <w:bidi w:val="0"/>
              <w:spacing w:before="0" w:after="283"/>
              <w:jc w:val="left"/>
              <w:rPr/>
            </w:pPr>
            <w:hyperlink w:anchor="solesence10ka040">
              <w:r>
                <w:rPr>
                  <w:rStyle w:val="InternetLink"/>
                  <w:rFonts w:ascii="Times New Roman;Times;Serif" w:hAnsi="Times New Roman;Times;Serif"/>
                  <w:b w:val="false"/>
                  <w:i w:val="false"/>
                  <w:caps w:val="false"/>
                  <w:smallCaps w:val="false"/>
                  <w:sz w:val="20"/>
                </w:rPr>
                <w:t>Security Ownership of Certain Beneficial Owners and Management and Related Stockholder Matters</w:t>
              </w:r>
            </w:hyperlink>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r>
      <w:tr>
        <w:trPr/>
        <w:tc>
          <w:tcPr>
            <w:tcW w:w="725" w:type="dxa"/>
            <w:tcBorders/>
            <w:vAlign w:val="center"/>
          </w:tcPr>
          <w:p>
            <w:pPr>
              <w:pStyle w:val="TableContents"/>
              <w:bidi w:val="0"/>
              <w:spacing w:before="0" w:after="283"/>
              <w:jc w:val="left"/>
              <w:rPr/>
            </w:pPr>
            <w:hyperlink w:anchor="solesence10ka041">
              <w:r>
                <w:rPr>
                  <w:rStyle w:val="InternetLink"/>
                  <w:rFonts w:ascii="Times New Roman;Times;Serif" w:hAnsi="Times New Roman;Times;Serif"/>
                  <w:b w:val="false"/>
                  <w:i w:val="false"/>
                  <w:caps w:val="false"/>
                  <w:smallCaps w:val="false"/>
                  <w:sz w:val="20"/>
                </w:rPr>
                <w:t>Item 13.</w:t>
              </w:r>
            </w:hyperlink>
          </w:p>
        </w:tc>
        <w:tc>
          <w:tcPr>
            <w:tcW w:w="9050" w:type="dxa"/>
            <w:tcBorders/>
            <w:vAlign w:val="center"/>
          </w:tcPr>
          <w:p>
            <w:pPr>
              <w:pStyle w:val="TableContents"/>
              <w:bidi w:val="0"/>
              <w:spacing w:before="0" w:after="283"/>
              <w:jc w:val="left"/>
              <w:rPr/>
            </w:pPr>
            <w:hyperlink w:anchor="solesence10ka041">
              <w:r>
                <w:rPr>
                  <w:rStyle w:val="InternetLink"/>
                  <w:rFonts w:ascii="Times New Roman;Times;Serif" w:hAnsi="Times New Roman;Times;Serif"/>
                  <w:b w:val="false"/>
                  <w:i w:val="false"/>
                  <w:caps w:val="false"/>
                  <w:smallCaps w:val="false"/>
                  <w:sz w:val="20"/>
                </w:rPr>
                <w:t>Certain Relationships and Related Transactions, and Director Independence</w:t>
              </w:r>
            </w:hyperlink>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r>
      <w:tr>
        <w:trPr/>
        <w:tc>
          <w:tcPr>
            <w:tcW w:w="725" w:type="dxa"/>
            <w:tcBorders/>
            <w:vAlign w:val="center"/>
          </w:tcPr>
          <w:p>
            <w:pPr>
              <w:pStyle w:val="TableContents"/>
              <w:bidi w:val="0"/>
              <w:spacing w:before="0" w:after="283"/>
              <w:jc w:val="left"/>
              <w:rPr/>
            </w:pPr>
            <w:hyperlink w:anchor="solesence10ka042">
              <w:r>
                <w:rPr>
                  <w:rStyle w:val="InternetLink"/>
                  <w:rFonts w:ascii="Times New Roman;Times;Serif" w:hAnsi="Times New Roman;Times;Serif"/>
                  <w:b w:val="false"/>
                  <w:i w:val="false"/>
                  <w:caps w:val="false"/>
                  <w:smallCaps w:val="false"/>
                  <w:sz w:val="20"/>
                </w:rPr>
                <w:t>Item 14.</w:t>
              </w:r>
            </w:hyperlink>
          </w:p>
        </w:tc>
        <w:tc>
          <w:tcPr>
            <w:tcW w:w="9050" w:type="dxa"/>
            <w:tcBorders/>
            <w:vAlign w:val="center"/>
          </w:tcPr>
          <w:p>
            <w:pPr>
              <w:pStyle w:val="TableContents"/>
              <w:bidi w:val="0"/>
              <w:spacing w:before="0" w:after="283"/>
              <w:jc w:val="left"/>
              <w:rPr/>
            </w:pPr>
            <w:hyperlink w:anchor="solesence10ka042">
              <w:r>
                <w:rPr>
                  <w:rStyle w:val="InternetLink"/>
                  <w:rFonts w:ascii="Times New Roman;Times;Serif" w:hAnsi="Times New Roman;Times;Serif"/>
                  <w:b w:val="false"/>
                  <w:i w:val="false"/>
                  <w:caps w:val="false"/>
                  <w:smallCaps w:val="false"/>
                  <w:sz w:val="20"/>
                </w:rPr>
                <w:t>Principal Accounting Fees and Services</w:t>
              </w:r>
            </w:hyperlink>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r>
      <w:tr>
        <w:trPr/>
        <w:tc>
          <w:tcPr>
            <w:tcW w:w="725" w:type="dxa"/>
            <w:tcBorders/>
            <w:vAlign w:val="center"/>
          </w:tcPr>
          <w:p>
            <w:pPr>
              <w:pStyle w:val="TableContents"/>
              <w:bidi w:val="0"/>
              <w:spacing w:before="0" w:after="283"/>
              <w:jc w:val="left"/>
              <w:rPr>
                <w:caps w:val="false"/>
                <w:smallCaps w:val="false"/>
              </w:rPr>
            </w:pPr>
            <w:r>
              <w:rPr>
                <w:caps w:val="false"/>
                <w:smallCaps w:val="false"/>
              </w:rPr>
              <w:t> </w:t>
            </w:r>
          </w:p>
        </w:tc>
        <w:tc>
          <w:tcPr>
            <w:tcW w:w="9050"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725" w:type="dxa"/>
            <w:tcBorders/>
            <w:vAlign w:val="center"/>
          </w:tcPr>
          <w:p>
            <w:pPr>
              <w:pStyle w:val="TableContents"/>
              <w:bidi w:val="0"/>
              <w:spacing w:before="0" w:after="283"/>
              <w:jc w:val="left"/>
              <w:rPr>
                <w:caps w:val="false"/>
                <w:smallCaps w:val="false"/>
              </w:rPr>
            </w:pPr>
            <w:r>
              <w:rPr>
                <w:caps w:val="false"/>
                <w:smallCaps w:val="false"/>
              </w:rPr>
              <w:t> </w:t>
            </w:r>
          </w:p>
        </w:tc>
        <w:tc>
          <w:tcPr>
            <w:tcW w:w="9050" w:type="dxa"/>
            <w:tcBorders/>
            <w:vAlign w:val="center"/>
          </w:tcPr>
          <w:p>
            <w:pPr>
              <w:pStyle w:val="TableContents"/>
              <w:bidi w:val="0"/>
              <w:spacing w:before="0" w:after="283"/>
              <w:jc w:val="center"/>
              <w:rPr/>
            </w:pPr>
            <w:hyperlink w:anchor="solesence10ka043">
              <w:r>
                <w:rPr>
                  <w:rStyle w:val="InternetLink"/>
                  <w:rFonts w:ascii="Times New Roman;Times;Serif" w:hAnsi="Times New Roman;Times;Serif"/>
                  <w:b/>
                  <w:i w:val="false"/>
                  <w:caps w:val="false"/>
                  <w:smallCaps w:val="false"/>
                  <w:sz w:val="20"/>
                </w:rPr>
                <w:t>PART IV</w:t>
              </w:r>
            </w:hyperlink>
          </w:p>
        </w:tc>
        <w:tc>
          <w:tcPr>
            <w:tcW w:w="24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725" w:type="dxa"/>
            <w:tcBorders/>
            <w:vAlign w:val="center"/>
          </w:tcPr>
          <w:p>
            <w:pPr>
              <w:pStyle w:val="TableContents"/>
              <w:bidi w:val="0"/>
              <w:spacing w:before="0" w:after="283"/>
              <w:jc w:val="left"/>
              <w:rPr>
                <w:caps w:val="false"/>
                <w:smallCaps w:val="false"/>
              </w:rPr>
            </w:pPr>
            <w:r>
              <w:rPr>
                <w:caps w:val="false"/>
                <w:smallCaps w:val="false"/>
              </w:rPr>
              <w:t> </w:t>
            </w:r>
          </w:p>
        </w:tc>
        <w:tc>
          <w:tcPr>
            <w:tcW w:w="9050"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725" w:type="dxa"/>
            <w:tcBorders/>
            <w:vAlign w:val="center"/>
          </w:tcPr>
          <w:p>
            <w:pPr>
              <w:pStyle w:val="TableContents"/>
              <w:bidi w:val="0"/>
              <w:spacing w:before="0" w:after="283"/>
              <w:jc w:val="left"/>
              <w:rPr/>
            </w:pPr>
            <w:hyperlink w:anchor="solesence10ka044">
              <w:r>
                <w:rPr>
                  <w:rStyle w:val="InternetLink"/>
                  <w:rFonts w:ascii="Times New Roman;Times;Serif" w:hAnsi="Times New Roman;Times;Serif"/>
                  <w:b w:val="false"/>
                  <w:i w:val="false"/>
                  <w:caps w:val="false"/>
                  <w:smallCaps w:val="false"/>
                  <w:sz w:val="20"/>
                </w:rPr>
                <w:t>Item 15.</w:t>
              </w:r>
            </w:hyperlink>
          </w:p>
        </w:tc>
        <w:tc>
          <w:tcPr>
            <w:tcW w:w="9050" w:type="dxa"/>
            <w:tcBorders/>
            <w:vAlign w:val="center"/>
          </w:tcPr>
          <w:p>
            <w:pPr>
              <w:pStyle w:val="TableContents"/>
              <w:bidi w:val="0"/>
              <w:spacing w:before="0" w:after="283"/>
              <w:jc w:val="left"/>
              <w:rPr/>
            </w:pPr>
            <w:hyperlink w:anchor="solesence10ka044">
              <w:r>
                <w:rPr>
                  <w:rStyle w:val="InternetLink"/>
                  <w:rFonts w:ascii="Times New Roman;Times;Serif" w:hAnsi="Times New Roman;Times;Serif"/>
                  <w:b w:val="false"/>
                  <w:i w:val="false"/>
                  <w:caps w:val="false"/>
                  <w:smallCaps w:val="false"/>
                  <w:sz w:val="20"/>
                </w:rPr>
                <w:t>Exhibits and Financial Statement Schedules</w:t>
              </w:r>
            </w:hyperlink>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r>
      <w:tr>
        <w:trPr/>
        <w:tc>
          <w:tcPr>
            <w:tcW w:w="725" w:type="dxa"/>
            <w:tcBorders/>
            <w:vAlign w:val="center"/>
          </w:tcPr>
          <w:p>
            <w:pPr>
              <w:pStyle w:val="TableContents"/>
              <w:bidi w:val="0"/>
              <w:spacing w:before="0" w:after="283"/>
              <w:jc w:val="left"/>
              <w:rPr/>
            </w:pPr>
            <w:hyperlink w:anchor="solesence10ka045">
              <w:r>
                <w:rPr>
                  <w:rStyle w:val="InternetLink"/>
                  <w:rFonts w:ascii="Times New Roman;Times;Serif" w:hAnsi="Times New Roman;Times;Serif"/>
                  <w:b w:val="false"/>
                  <w:i w:val="false"/>
                  <w:caps w:val="false"/>
                  <w:smallCaps w:val="false"/>
                  <w:sz w:val="20"/>
                </w:rPr>
                <w:t>Item 16.</w:t>
              </w:r>
            </w:hyperlink>
          </w:p>
        </w:tc>
        <w:tc>
          <w:tcPr>
            <w:tcW w:w="9050" w:type="dxa"/>
            <w:tcBorders/>
            <w:vAlign w:val="center"/>
          </w:tcPr>
          <w:p>
            <w:pPr>
              <w:pStyle w:val="TableContents"/>
              <w:bidi w:val="0"/>
              <w:spacing w:before="0" w:after="283"/>
              <w:jc w:val="left"/>
              <w:rPr/>
            </w:pPr>
            <w:hyperlink w:anchor="solesence10ka045">
              <w:r>
                <w:rPr>
                  <w:rStyle w:val="InternetLink"/>
                  <w:rFonts w:ascii="Times New Roman;Times;Serif" w:hAnsi="Times New Roman;Times;Serif"/>
                  <w:b w:val="false"/>
                  <w:i w:val="false"/>
                  <w:caps w:val="false"/>
                  <w:smallCaps w:val="false"/>
                  <w:sz w:val="20"/>
                </w:rPr>
                <w:t>Form 10-K Summary</w:t>
              </w:r>
            </w:hyperlink>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bookmarkStart w:id="31" w:name="solesence10ka001"/>
      <w:bookmarkEnd w:id="31"/>
      <w:r>
        <w:rPr>
          <w:rFonts w:ascii="Times New Roman;Times;Serif" w:hAnsi="Times New Roman;Times;Serif"/>
          <w:b/>
          <w:i w:val="false"/>
          <w:caps w:val="false"/>
          <w:smallCaps w:val="false"/>
          <w:sz w:val="20"/>
        </w:rPr>
        <w:t>PART I</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bookmarkStart w:id="32" w:name="solesence10ka002"/>
      <w:bookmarkEnd w:id="32"/>
      <w:r>
        <w:rPr>
          <w:rFonts w:ascii="Times New Roman;Times;Serif" w:hAnsi="Times New Roman;Times;Serif"/>
          <w:b/>
          <w:i w:val="false"/>
          <w:caps w:val="false"/>
          <w:smallCaps w:val="false"/>
          <w:sz w:val="20"/>
        </w:rPr>
        <w:t>Item 1. General</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bookmarkStart w:id="33" w:name="solesence10ka003"/>
      <w:bookmarkEnd w:id="33"/>
      <w:r>
        <w:rPr>
          <w:rFonts w:ascii="Times New Roman;Times;Serif" w:hAnsi="Times New Roman;Times;Serif"/>
          <w:b/>
          <w:i w:val="false"/>
          <w:caps w:val="false"/>
          <w:smallCaps w:val="false"/>
          <w:sz w:val="20"/>
        </w:rPr>
        <w:t>Company Background</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7, 2025, Nanophase Technologies Corporation announced its rebranding as Solésence, Inc. (“Solésence,” “Company,” “we,” “our,” or “us”), marking a new chapter in its commitment to skin health innovation and consumer products across beauty, health, and wellness categories. Our corporate website has transitioned to solesence.com and investor relations information, including historical Nanophase financials and disclosures, is available at ir.solesence.com. Nanophase Technologies Corporation changed its legal name to Solésence, Inc. by amending its certificate of incorporation with the State of Delaware on March 10, 2025 and by filing a certificate of correction on June 3,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Solésence, along with its wholly owned subsidiary, Solésence, LLC (our “Solésence consumer products subsidiary”), is a leading innovator in scientifically driven health care solutions across beauty, health and wellness categories, protecting skin from environmental aggressors and enhancing the aesthetic appeal of health-enhancing products. Skin health, addressed through both our Consumer Products and our Active Pharmaceutical Ingredients (“APIs”), currently make up the great majority of our business, with additional revenue being generated from other legacy advanced materials applications. The Company was incorporated in Illinois on November 25, 1989, and became a Delaware corporation during November 1997. Our common stock trades on NASDAQ under the symbol SLSN. We have development and testing laboratories, and manufacturing capability in two locations in the Chicago, Illinois area.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Leveraging a platform of integrated patented and proprietary technologies, we create products with unique performance to enhance end-consumers’ health and well-being. We offer comprehensive production, starting with engineered materials, formulation development, and finished product development, through commercial manufacturing and packaging capabilities. Our expertise in materials engineering allows us to effectively coat and disperse materials on a nano and “non-nano” scale for use in a variety of markets in skin health, including for use in sunscreens as APIs. We believe our innovative approach to creating these materials gives us technological and competitive advantages in market. In addition to APIs, we produce our finished skin care, sun care, and color cosmetics products (“Consumer Products”) through the vertical integration of patented and proprietary technologies that offer unique skin health benefits. We offer these consumer products for sale to brands who ultimately sell products to consumers in both prestige and mass markets within the beauty industry. Solésence consumer products have received broad acceptance in the marketplace. Due to the enhanced efficacy and aesthetic qualities offered by our proprietary technology platform, Solésence consumer products satisfy growing consumer demands across a range of product formats and categories. The vertically integrated nature of Solésence consumer products helps us to develop ingredient technologies and formulas in tandem. We have leveraged this to develop specialized formulation know-how with our unique ingredients, improve efficiency, and avoid potential major supply chain challenges.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Given our technological position, in addition to the historical market acceptance of our APIs for use in skin health products and sunscreens, we have seen rapidly growing sales for our suite of consumer products. Due to the expanding demand from our brand partners, we have further refined our strategy to reflect our view that consumer products should be the major focus of our growth strategy. Management believes that this growth is happening now due to a confluence of our technology and market conditions that favor the types of products we produce. We continue to see unprecedented demand for these products. Coupled with our expanded and growing expertise in these areas, we believe we are well positioned to enjoy growth into the future. This success had led us to focus our combined business-, ingredient technology-, and product-development capabilities on products that bring unique performance to this area. While we will continue to produce and sell materials to our other advanced materials customers, it is not our strategic focus, and we expect it to make up less of our total business over time. We may develop additional technologies or find unique applications outside of our core markets in the future, but to maximize the use of our resources today, we plan on expanding efforts in areas where we have proven we can deliver innovation and growth.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bookmarkStart w:id="34" w:name="solesence10ka004"/>
      <w:bookmarkEnd w:id="34"/>
      <w:r>
        <w:rPr>
          <w:rFonts w:ascii="Times New Roman;Times;Serif" w:hAnsi="Times New Roman;Times;Serif"/>
          <w:b/>
          <w:i w:val="false"/>
          <w:caps w:val="false"/>
          <w:smallCaps w:val="false"/>
          <w:sz w:val="20"/>
        </w:rPr>
        <w:t xml:space="preserve">Consumer Products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2015 we were granted a patent on a new type of particle surface treatment (coating) — now called Original Active Stress Defense™ Technology. This became the cornerstone of our new product development in our consumer product line, with first revenue recognized during 2017.</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now offer a suite of three technology platforms under our Active Stress Defense™ family of technologies, each of which offers a distinct market advantage in terms of performance, aesthetics, and/or “clean” positioning in UV and environmental protection. We design and market flexible formulas that allow for adoption by a range of brands with different market positions across beauty, health, and wellness. In 2020, consumer products surpassed our personal care APIs in terms of total revenue. We believe that Solésence consumer products offer the greatest growth potential of any product line in any market in the Company’s history.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continue to develop and expand our in-house formulating capability, through which we have created, and now sold, more than 950 SKUs of fully formulated finished cosmetic products in markets focused on skin health, with the majority in prestige beauty. Products developed and sold through our consumer products line are all produced under the requirements of current Good Manufacturing Practice standards (“cGMP”), as enforced by the U.S. Food and Drug Administration (“FDA”), which enables us to leverage the expertise we developed in the manufacture of personal care ingredients. Although our Solésence products are fully formulated for consumer use, we do not sell directly to consumers or distribute products to consumers under the Solésence brand through intermediaries or resellers. Instead, we sell our consumer products to customers as market-ready products, as customized white label products, or as custom-developed products, in each case, for sale or distribution to consumers under our customers’ brand names. For this reason we call our consumer products customers “brand partners.”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Solésence received two industry accolades. In July 2022 at Cosmoprof North America, Solésence was awarded the Cosmopack North America Award for best Formulation for our product, Multi-Cultural Magic SPF 50+ Featuring Solésence Kleair™, acknowledging the Company’s technology, formulation, and marketing know-how. In September 2022, Solésence was awarded the Cosmetics &amp; Toiletries Allē Award for Most Significant Active Ingredient in Sun/Light Protection for Kleair™ technology. In early 2023, Solésence was named number 2 in the Beauty category of Fast Company’s World’s Most Innovative Companies list. This prestigious award recognizes the impact we have on the industry we serve and the lives of the people who use our products. In July of 2023, Solésence was again awarded the Cosmopack North America Award for best Formulation, this time for its product Natural Glow Face Oil SPF 40+ featuring Kleair™ and Bloom™ technology, recognizing our continued innovative approach to formulation and product innovation. Also in 2023, Solésence won the 2023 Beauty Matter NEXT Award for Best Contract Manufacturer and was a winner of the 22nd Chicago Innovation Awards. In 2024, Solésence won its third consecutive Cosmopack North America Award for best Formulation for its Lip Oil, SPF 40+, making Solésence the first-ever third-time winner of the Award in Cosmopack North America’s history. Also in 2024, Solésence won its second Cosmetics &amp; Toiletries Allē Award in the Finished Formula-Prestige category for its market-ready product, Soft Glow SPF 50+. Most recently in March 2025, Solésence won its third consecutive Cosmetics &amp; Toiletries Allē Award and its second in the Finished Formula-Prestige category for its finished formula Au Lait Face Milk SPF 50+. To-date Solésence has won 9 awards across product and ingredient innovation and service, highlighting the Company’s know-how across technology, formulation, and marketing.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35" w:name="solesence10ka005"/>
      <w:bookmarkEnd w:id="35"/>
      <w:r>
        <w:rPr>
          <w:rFonts w:ascii="Times New Roman;Times;Serif" w:hAnsi="Times New Roman;Times;Serif"/>
          <w:b/>
          <w:i w:val="false"/>
          <w:caps w:val="false"/>
          <w:smallCaps w:val="false"/>
          <w:sz w:val="20"/>
        </w:rPr>
        <w:t xml:space="preserve">Personal Care Ingredients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Prior to 2020, our largest product had been the manufacture and sale of APIs in the skin health and sun care markets, which we deliver to customers through strategic partnerships. </w:t>
      </w:r>
      <w:r>
        <w:rPr>
          <w:rFonts w:ascii="Times New Roman;Times;Serif" w:hAnsi="Times New Roman;Times;Serif"/>
          <w:b w:val="false"/>
          <w:i w:val="false"/>
          <w:caps w:val="false"/>
          <w:smallCaps w:val="false"/>
          <w:sz w:val="20"/>
        </w:rPr>
        <w:t>We continue to manufacture and supply hundreds of metric tons of surface engineered zinc oxide and titanium dioxide ingredients to our customers annually, and these are used by major global consumer products companies for sunscreens and skin health-focused personal care products. We produce these products using proprietary coating and dispersion technologies that comply with the requirements of cGMP and are classified as Active Pharmaceutical Ingredients, or APIs, by the FDA.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bookmarkStart w:id="36" w:name="solesence10ka006"/>
      <w:bookmarkEnd w:id="36"/>
      <w:r>
        <w:rPr>
          <w:rFonts w:ascii="Times New Roman;Times;Serif" w:hAnsi="Times New Roman;Times;Serif"/>
          <w:b/>
          <w:i w:val="false"/>
          <w:caps w:val="false"/>
          <w:smallCaps w:val="false"/>
          <w:sz w:val="20"/>
        </w:rPr>
        <w:t xml:space="preserve">Advanced Materials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third product for us has historically been the manufacture and sale of advanced nanoparticle materials, including a material used in life science applications to enhance the performance of PCR test methods. We continue to service other profitable markets where we have had a degree of success in the past, including applications in food packaging and coatings, but they are not our strategic focus and related future development in these areas are not being prioritized.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bookmarkStart w:id="37" w:name="solesence10ka007"/>
      <w:bookmarkEnd w:id="37"/>
      <w:r>
        <w:rPr>
          <w:rFonts w:ascii="Times New Roman;Times;Serif" w:hAnsi="Times New Roman;Times;Serif"/>
          <w:b/>
          <w:i w:val="false"/>
          <w:caps w:val="false"/>
          <w:smallCaps w:val="false"/>
          <w:sz w:val="20"/>
        </w:rPr>
        <w:t>Sources and Availability of Raw Materials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Most of the raw materials we use are readily commercially available. In some cases, we rely on sole-source processors of materials that utilize an array of worldwide sources for the raw materials that they process to our specifications. However, we require very high purity zinc for our personal care applications that have occasionally seen shortages in prior years. Although we currently believe we have developed adequate commercial relationships to supply the necessary raw materials for our business which are not readily commercially available, our business is subject to the pricing and availability of certain raw materials.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Some of the raw materials that are critical to the production of our products and parts that are critical to the operation of our equipment are sourced from single suppliers, suppliers from China and Korea. However, we do not knowingly source any materials from the Xinjiang region of China. We continue to monitor delays in shipping exports from China and Korea. The Company is monitoring the potential impacts of Chinese tariffs on our cost of materials sourced from China. Despite the Russian invasion of Ukraine, we do not anticipate any directly related supply disruptions as we do not knowingly source any materials directly from either country. Additionally, we could be disrupted by conditions unrelated to our business operations or that are beyond our control, including but not limited to international trade restrictions and conditions related to epidemics. We typically maintain no less than one month’s supply of raw materials and parts that are sourced from sole suppliers and make efforts to identify additional suppliers who may be able to provide such raw materials or parts. The Company is actively taking steps to reduce the number of singularly sourced raw materials.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bookmarkStart w:id="38" w:name="solesence10ka008"/>
      <w:bookmarkEnd w:id="38"/>
      <w:r>
        <w:rPr>
          <w:rFonts w:ascii="Times New Roman;Times;Serif" w:hAnsi="Times New Roman;Times;Serif"/>
          <w:b/>
          <w:i w:val="false"/>
          <w:caps w:val="false"/>
          <w:smallCaps w:val="false"/>
          <w:sz w:val="20"/>
        </w:rPr>
        <w:t>Markets and Distribution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Consumer Products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We partner with beauty, health, and wellness brands on a global basis to develop, manufacture and market products that enhance lives through healthy skin. These products are fully formulated solutions built around proprietary Solésence technologies, which are designed to improve skin health for all human beings, and are aligned with consumer demand. Our consumer products customers (“brand partners”) are positioned in skin care, makeup/cosmetics, and sun care markets, with the majority of our partners operating in the prestige beauty segment with retail, direct-to-consumer, and/or omnichannel strategies. This represents a move downstream from our previous position — one of providing ingredients to manufacturers — to offering finished consumer products that we believe offer a clear and distinct market advantage relative to both aesthetics and performance. With our first consumer product revenue recognized during 2017, we had our first material amounts of consumer product revenue in 2018 and experienced significant expansion of these sales through 2025. Consumer products brand partners have experienced strong growth as our products have seen broad acceptance from retailers, adoption by consumers, and recognition by third-party media outlets through awards and accolades. We expect our consumer products to enhance both our degree of control of the business development cycle, and to further enable our ability to grow rapidly. </w:t>
      </w:r>
      <w:r>
        <w:rPr>
          <w:rFonts w:ascii="Times New Roman;Times;Serif" w:hAnsi="Times New Roman;Times;Serif"/>
          <w:b w:val="false"/>
          <w:i w:val="false"/>
          <w:caps w:val="false"/>
          <w:smallCaps w:val="false"/>
          <w:sz w:val="20"/>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Personal Care Ingredients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In addition to serving strategic partners in diverse markets and geographic locations, we will continue to devote resources to maintaining and growing our relationship with BASF Corporation (“BASF”), the largest customer in our personal care ingredients product group. This has been a successful relationship that we expect will contribute to our future growth. BASF, which describes itself as the world’s leading chemical company with annual revenue of approximately $77 billion, is a “globally leading supplier of sustainable high-performance ingredients for the personal care industry,” with recognized brands, significant revenue, and a broad sales network. BASF is primarily responsible for the business development cycle and maintains the direct customer relationships. We have a long-term exclusive relationship with BASF, primarily to provide nano-scale zinc oxide-based products made to BASF’s specifications to be used as ingredients in personal care cosmetics, with sunscreens and daily wear products being the dominant applications. These materials differ significantly in their specifications from those used in the consumer products line.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bookmarkStart w:id="39" w:name="solesence10ka009"/>
      <w:bookmarkEnd w:id="39"/>
      <w:r>
        <w:rPr>
          <w:rFonts w:ascii="Times New Roman;Times;Serif" w:hAnsi="Times New Roman;Times;Serif"/>
          <w:b/>
          <w:i w:val="false"/>
          <w:caps w:val="false"/>
          <w:smallCaps w:val="false"/>
          <w:sz w:val="20"/>
        </w:rPr>
        <w:t>Research and Development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Most of our research and development since 2015 has been directly related to the development of Solésence consumer products. We endeavor to either meet specific customer needs or develop solutions to address unmet or emerging needs where we believe our technologies will offer a distinct advantage. Our efforts in research and development, cosmetic formulating, process engineering and advanced engineering groups are focused in three major areas: 1) application development for our products; 2) creating or obtaining additional technology platforms that have the capability to serve multiple beauty or life science markets; and 3) continuing to improve manufacturing operations to improve process reliability and reduce costs.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total research and development expense, which includes all expenses relating to our technology and advanced engineering groups was $4.1 millions and $3.8 million during the years ended December 31, 2025 and 2024, respectively. This represents our share of these expenses only and does not take into account amounts spent by any of our customers in support of new product development. Our future success will depend in large part upon our ability to develop products that bring a high degree of value to our customers. Through the two-year period ended December 31, 2025, we had cumulative research and development expenses of approximately $7.9 million and $0.1 million cumulative capital expenditures on lab and testing equipment improvements.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40" w:name="solesence10ka010"/>
      <w:bookmarkEnd w:id="40"/>
      <w:r>
        <w:rPr>
          <w:rFonts w:ascii="Times New Roman;Times;Serif" w:hAnsi="Times New Roman;Times;Serif"/>
          <w:b/>
          <w:i w:val="false"/>
          <w:caps w:val="false"/>
          <w:smallCaps w:val="false"/>
          <w:sz w:val="20"/>
        </w:rPr>
        <w:t>Competitive Advantage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our Solésence consumer product line, our Active Stress Defense™ platform of proprietary technologies – which includes Solésence Kleair™ – offers unique skin health benefits through performance-related and aesthetic advantages in environmental protection skin health products, including UVA/UVB, pollution and HEV (blue) light protection. These technologies expand access to healthy skin by improving both the product experience across the full range of skin tones while also leveraging a unique versatility that enables a variety of novel formats to reach the full range of product preferences and lifestyles. By combining our market awareness, proprietary dispersion capabilities and formulation know-how, our Solésence products enable our brand partners to expand the range of products within skin care and color cosmetics categories that can include sun and environmental protection and consequently fill a unique market segment which drives the growing demand for our consumer products.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our personal care ingredients product line, we believe that targeted collaborations with our long-standing customers will enable them to have a competitive advantage which will sustain and/or grow their market share in the sunscreen API market. Both the consumer products and the personal care ingredients lines have been positively impacted by the growing interest among consumers for mineral-based sunscreens, which management sees as a validation of the Company strategy.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41" w:name="solesence10ka011"/>
      <w:bookmarkEnd w:id="41"/>
      <w:r>
        <w:rPr>
          <w:rFonts w:ascii="Times New Roman;Times;Serif" w:hAnsi="Times New Roman;Times;Serif"/>
          <w:b/>
          <w:i w:val="false"/>
          <w:caps w:val="false"/>
          <w:smallCaps w:val="false"/>
          <w:sz w:val="20"/>
        </w:rPr>
        <w:t xml:space="preserve">Manufacturing Operations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have manufacturing capacity based in two locations in the Chicago area. We develop and supply engineered materials and bulk finished goods in quantities ranging from grams to metric tons. All facilities are registered under the ISO 9001, American National Standard, Quality Management System Requirements, ISO 22716 American National Standard, Environmental Management System Requirements, and ISO 14001, American National Standard, Environmental Management System Requirements.  We are compliant with cGMP for products under U.S. Food and Drug Administration (“FDA”) regulation, applying to the manufacture of APIs and OTC Finished Dosage Form materials (primarily used in sun protection). We have registered some of the chemicals we ship to customers in Europe pursuant to the European Chemical Agency’s regulations issued to date pertaining to Registration Evaluation and Authorization of Chemicals (“REACH”). Currently, we have registered Zinc Oxide, Aluminum Oxide, Iron Oxide and Octyltrimethoxysilane under REACH. The Company supports our Brand Partners GMP site license activities for our consumer products in Canada and Australia.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operations employ a cellular, team-based manufacturing approach, where workers operate in work “cells,” under a lean manufacturing environment to continuously advance and improve production capabilities. We have also developed a highly flexible workforce that has been cross trained to allow it to be employed broadly across our manufacturing processes. Beginning in late 2019, we also began to employ a significant number of temporary operators to assist us in supporting the production of our Solésence customer products.  Our manufacturing approach, targeted engineering actions, and capital investment have resulted in continuing process innovations and improvements that have reduced the variable manufacturing cost significantly over the past several years, while increasing our capacity to meet demand.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committed to a Lean Six Sigma manufacturing approach, to the extent possible given a certain measure of irregular demand, where we are able to reduce excess labor and manage the lowest practical inventory and supply levels in order to minimize working capital demands. This approach complements two of our major operational goals - (1) to increase output without adding unnecessarily to existing equipment and (2) to continually reduce production costs while consistently producing high quality products.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bookmarkStart w:id="42" w:name="solesence10ka012"/>
      <w:bookmarkEnd w:id="42"/>
      <w:r>
        <w:rPr>
          <w:rFonts w:ascii="Times New Roman;Times;Serif" w:hAnsi="Times New Roman;Times;Serif"/>
          <w:b/>
          <w:i w:val="false"/>
          <w:caps w:val="false"/>
          <w:smallCaps w:val="false"/>
          <w:sz w:val="20"/>
        </w:rPr>
        <w:t xml:space="preserve">Intellectual Property and Proprietary Rights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a combination of patent, trademark, copyright, trade secret and other intellectual property laws, nondisclosure agreements and other protective measures to protect our intellectual property. In addition to obtaining patent and trademarks based on our inventions and products, we may also license certain third-party patents from time-to-time to expand our technology base.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filing, we own 11 U.S. patents and 4 pending U.S. patent applications. We also own 123 foreign patents and patent applications consisting of 91 issued or allowed foreign patents and 32 pending foreign patent applications. All of the pending and owned foreign patents are counterparts to domestic filings covering our platform of particle technologies and surface treatments. All of the Company’s patents and patent applications relate to health and wellness.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bookmarkStart w:id="43" w:name="solesence10ka013"/>
      <w:bookmarkEnd w:id="43"/>
      <w:r>
        <w:rPr>
          <w:rFonts w:ascii="Times New Roman;Times;Serif" w:hAnsi="Times New Roman;Times;Serif"/>
          <w:b/>
          <w:i w:val="false"/>
          <w:caps w:val="false"/>
          <w:smallCaps w:val="false"/>
          <w:sz w:val="20"/>
        </w:rPr>
        <w:t>Competition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Within each of our targeted markets and product applications, we face potential competition from contract manufacturers and developers, advanced materials and chemical companies, and suppliers of traditional materials. In many markets, the actual or potential competitors are larger and more diversified than we are; however, we believe we focus on market segments and opportunities where our materials and related technologies are superior to those of our competitors, often due to our abilities to produce highly engineered ingredients to meet specific performance requirements, develop solutions for customers’ specific applications, and in the case of consumer products line, finished products that impart benefits of these technologies with </w:t>
      </w:r>
      <w:r>
        <w:rPr>
          <w:rFonts w:ascii="Times New Roman;Times;Serif" w:hAnsi="Times New Roman;Times;Serif"/>
          <w:b w:val="false"/>
          <w:i w:val="false"/>
          <w:caps w:val="false"/>
          <w:smallCaps w:val="false"/>
          <w:sz w:val="20"/>
          <w:shd w:fill="FFFFFF" w:val="clear"/>
        </w:rPr>
        <w:t>tactile, visual, and performance characteristics in line with consumer need and demand.</w:t>
      </w:r>
      <w:r>
        <w:rPr>
          <w:rFonts w:ascii="Times New Roman;Times;Serif" w:hAnsi="Times New Roman;Times;Serif"/>
          <w:b w:val="false"/>
          <w:i w:val="false"/>
          <w:caps w:val="false"/>
          <w:smallCaps w:val="false"/>
          <w:sz w:val="20"/>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traditional suppliers, we may compete against lower priced traditional materials for certain customer applications. In some product or process applications the benefits of using advanced materials do not always justify a process change or outweigh their frequently higher costs.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our material technologies and manufacturing platforms are strong. We believe we are well-positioned with our platform of integrated commercial materials technologies.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Solésence consumer products face competition from a wide variety of offerings in health, beauty, and wellness categories. Solésence products compete with existing solutions as well as new solutions from various sources, including other product developers and manufacturers who seek to serve skin care brands and integrated brands who also manufacture their own products in-house, and we must differentiate our value proposition in order to gain traction in this marketplace. The complexities of sunscreen regulation and the nuances of the development and manufacture of sunscreen products present a barrier for brands with integrated manufacturing in other skin care and cosmetics areas. Still, several Solésence consumer products customers have internal development and manufacturing capabilities that are similar to the capabilities of Solésence and can serve as indirect competition to our products and services. We believe that our Solésence consumer products technologies and our expertise in the nuances of formulating products that contain UV protection, coupled with our capability to produce novel formats, will allow us to be a competitive player in this market on a sustainable basis.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bookmarkStart w:id="44" w:name="solesence10ka014"/>
      <w:bookmarkEnd w:id="44"/>
      <w:r>
        <w:rPr>
          <w:rFonts w:ascii="Times New Roman;Times;Serif" w:hAnsi="Times New Roman;Times;Serif"/>
          <w:b/>
          <w:i w:val="false"/>
          <w:caps w:val="false"/>
          <w:smallCaps w:val="false"/>
          <w:sz w:val="20"/>
        </w:rPr>
        <w:t xml:space="preserve">Governmental Regulations, Including Climate Change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manufacture and use of certain products that contain Active Pharmaceutical Ingredients are subject to governmental regulations. As a result, we are required to adhere to the cGMP requirements of the FDA and similar regulations that include testing, control and documentation requirements enforced by periodic inspections. We also comply with the European Chemical Agency’s regulations issued to date pertaining to the chemicals we have registered under REACH. In early 2022, we were granted site clearance by Australia’s TGA for the full finished product manufacture of creams, lotions, sprays, sticks and all topical sunscreen forms. TGA site clearance is legally required for brands to market Solésence-made products as primary sunscreens in Australia. Our initial focus will be on establishing a footprint with both new and existing Solésence brand partners, to enable the sale of our patented skin health finished products as primary sunscreens.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committed to environmental health and safety (“EH&amp;S”). We believe we comply with all applicable exposure limit standards issued by the United States Department of Labor’s Occupational Health and Safety Administration (“OSHA”). Because nanotechnology remains an emerging and evolving science, there are no currently required measurements or personal protective equipment available that are specific to nanoparticle safety. Accordingly, we rely on general chemical safety and process safety requirements to identify safe personal protective equipment and appropriate handling protocols. We believe that we have taken a leadership position on EH&amp;S in our operations and have internal and external review and monitoring of our practices.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our facilities and operations are subject to the plant and laboratory safety requirements of various environmental and occupational safety and health laws. We believe we are in compliance with all such laws and regulations, and to date, those regulations have not materially restricted or impeded operations. Further, we believe our processes to be highly efficient, generating very low levels of waste and emissions. For this reason, we do not view issues surrounding climate change and any currently foreseeable related regulations as materially impacting our business and financial statements, beyond any inestimable impact on the macro-economic environment.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taken a responsible, proactive approach to EH&amp;S by implementing appropriate procedures and processes to have our facilities registered under ISO 14001, American National Standard, Environmental Management System Requirements. We are also involved with leading industry groups that are defining nanomaterial standards and protocols. These currently include the ASTM International Committee on Nanotechnology, and the US TAG to ISO TC 229 Nanotechnology committee managed by the American National Standards Institute committee (ANSI). We also participate in FDA reviews relative to cosmetic and applicable drug applications. We have a full-time, advanced degreed professional, along with a supporting staff, who spend a significant amount of time managing governmental regulation compliance and EH&amp;S.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45" w:name="solesence10ka015"/>
      <w:bookmarkEnd w:id="45"/>
      <w:r>
        <w:rPr>
          <w:rFonts w:ascii="Times New Roman;Times;Serif" w:hAnsi="Times New Roman;Times;Serif"/>
          <w:b/>
          <w:i w:val="false"/>
          <w:caps w:val="false"/>
          <w:smallCaps w:val="false"/>
          <w:sz w:val="20"/>
        </w:rPr>
        <w:t>Employees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31, 2025, we had a total of 115 full-time employees, 15 of whom hold advanced degrees. Additionally, we have a number of temporary, and temporary-to-permanent employees, typically 90 to 225 on a demand-driven basis, and a number of contractors with specific industry experience that have become a part of our talent pool. We have no collective bargaining agreements and believe that we have a strong relationship with our employees, whom management believes represent the strength of our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bookmarkStart w:id="46" w:name="solesence10ka016"/>
      <w:bookmarkEnd w:id="46"/>
      <w:r>
        <w:rPr>
          <w:rFonts w:ascii="Times New Roman;Times;Serif" w:hAnsi="Times New Roman;Times;Serif"/>
          <w:b/>
          <w:i w:val="false"/>
          <w:caps w:val="false"/>
          <w:smallCaps w:val="false"/>
          <w:sz w:val="20"/>
        </w:rPr>
        <w:t>Backlog</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believe that a backlog as of any particular date is indicative of future results. Our sales are primarily pursuant to purchase orders for delivery of our Solésence formulated products, personal care ingredients, and advanced materials. We have some agreements that give customers the right to purchase a specific quantity of ingredients during a specified time period. These agreements, however, do not obligate the customers to purchase any minimum quantity of such ingredients. The quantities actually purchased by the customer, as well as the shipment schedules, are frequently revised during the agreement term to reflect changes in the customer’s needs. For these reasons we do not believe that such agreements are meaningful for determining backlog amounts.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bookmarkStart w:id="47" w:name="solesence10ka017"/>
      <w:bookmarkEnd w:id="47"/>
      <w:r>
        <w:rPr>
          <w:rFonts w:ascii="Times New Roman;Times;Serif" w:hAnsi="Times New Roman;Times;Serif"/>
          <w:b/>
          <w:i w:val="false"/>
          <w:caps w:val="false"/>
          <w:smallCaps w:val="false"/>
          <w:sz w:val="20"/>
        </w:rPr>
        <w:t>Business Segment and Geographical Information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operations comprise a single business segment and all of our long-lived assets are located within the United States. See Note 13 to the accompanying Financial Statements for additional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bookmarkStart w:id="48" w:name="solesence10ka018"/>
      <w:bookmarkEnd w:id="48"/>
      <w:r>
        <w:rPr>
          <w:rFonts w:ascii="Times New Roman;Times;Serif" w:hAnsi="Times New Roman;Times;Serif"/>
          <w:b/>
          <w:i w:val="false"/>
          <w:caps w:val="false"/>
          <w:smallCaps w:val="false"/>
          <w:sz w:val="20"/>
        </w:rPr>
        <w:t>Key Customers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limited number of key customers account for a substantial portion of our commercial revenue. We are seeing the composition of these key customers change with the growth we are experiencing within our consumer products line, which has grown to exceed our personal care ingredients line significantly.  For 2025, total consumer products revenue amounted to $54.9M or 88% of total revenue compared to $44.4M, or 85% for 2024.  In particular, revenue from our three largest customers across all business areas included two of our consumer products customers and our largest customer in personal care ingredients (BASF), constituted approximately 29%, 16%, and 10%, respectively, of our 2025 total revenue.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our consumer products continue to represent more of our total revenue, we expect to see a number of smaller (sub-10% of revenue) customers represent a more significant portion of our total revenue. We have experienced this in 2025 and 2024 and expect it to continue in 2026 and beyond.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our agreements with BASF are long-term agreements, they may be terminated by BASF under certain circumstances with contractually required notice and do not provide any guarantees that BASF will buy our products. The loss of one of our largest customers or the failure to attract new customers could have a material adverse effect on our business, results of operations and financial condition. To reduce the impact of having a high concentration of sales to a limited number of customers, we have pursued new customers through our market focused business model, and particularly through our consumer products. To the extent we are successful in adding a large number of customers through this model, and maintaining or expanding our existing partners, we believe we will be able to best manage the risks associated with customer concentration.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bookmarkStart w:id="49" w:name="solesence10ka019"/>
      <w:bookmarkEnd w:id="49"/>
      <w:r>
        <w:rPr>
          <w:rFonts w:ascii="Times New Roman;Times;Serif" w:hAnsi="Times New Roman;Times;Serif"/>
          <w:b/>
          <w:i w:val="false"/>
          <w:caps w:val="false"/>
          <w:smallCaps w:val="false"/>
          <w:sz w:val="20"/>
        </w:rPr>
        <w:t>Forward-Looking Statements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want to provide investors with more meaningful and useful information. As a result, this Annual Report on Form 10-K (the “Form 10-K”) contains certain “forward-looking statements”, as defined in Section 27A of the Securities Act of 1933, as amended (the “Securities Act”), and Section 21E of the Securities Exchange Act of 1934, as amended (the “Exchange Act”). These statements reflect our current expectations of the future results of our operations, performance and achievements. Forward-looking statements are covered under the safe harbor provisions of the Private Securities Litigation Reform Act of 1995. We have tried, wherever possible, to identify these statements by using words such as “anticipates”, “believes”, “estimates”, “expects”, “plans”, “intends” and similar expressions. These statements reflect management’s current beliefs and are based on information now available to it. Accordingly, these statements are subject to certain risks, uncertainties and contingencies that could cause our actual results, performance or achievements in 2026 and beyond to differ materially from those expressed in, or implied by, such statements. These risks, uncertainties and factors include, without limitation: our ability to be consistently profitable despite the losses we have incurred since our incorporation; a decision by a customer to cancel a purchase order or supply agreement in light of our dependence on a limited number of key customers; our potential inability to obtain working capital when needed on acceptable terms or at all; our ability to obtain materials at costs we can pass through to our customers, including high purity zinc, and other items impacted by supply chain pressures, including tariffs; uncertain demand for, and acceptance of, our Solésence products, and our advanced materials; our manufacturing capacity and product mix flexibility in light of customer demand; our limited marketing experience, including with our suite of consumer products; changes in development and distribution relationships; the impact of competitive products and technologies; our dependence on patents and protection of proprietary information; our ability to maintain an appropriate electronic trading venue for our securities; the impact of any potential new governmental regulations, especially any new governmental regulations focusing on the processing, handling, storage or sale of nanomaterials as it could impact our personal care ingredients business, that could be difficult to respond to or costly to comply with; </w:t>
      </w:r>
      <w:r>
        <w:rPr>
          <w:rFonts w:ascii="Times New Roman;Times;Serif" w:hAnsi="Times New Roman;Times;Serif"/>
          <w:b w:val="false"/>
          <w:i w:val="false"/>
          <w:caps w:val="false"/>
          <w:smallCaps w:val="false"/>
          <w:sz w:val="20"/>
          <w:shd w:fill="FFFFFF" w:val="clear"/>
        </w:rPr>
        <w:t xml:space="preserve">business interruptions due to unexpected events or public health crises, including viral pandemics such as COVID-19; </w:t>
      </w:r>
      <w:r>
        <w:rPr>
          <w:rFonts w:ascii="Times New Roman;Times;Serif" w:hAnsi="Times New Roman;Times;Serif"/>
          <w:b w:val="false"/>
          <w:i w:val="false"/>
          <w:caps w:val="false"/>
          <w:smallCaps w:val="false"/>
          <w:sz w:val="20"/>
        </w:rPr>
        <w:t>and the resolution of litigation or other legal proceedings in which we may become involved. In addition, our forward-looking statements could be affected by general industry and market conditions and growth rates. Readers of this Form 10-K should not place undue reliance on any forward-looking statements. Except as required by federal securities laws, we undertake no obligation to update or revise these forward-looking statements to reflect new events or uncertainties.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bookmarkStart w:id="50" w:name="solesence10ka020"/>
      <w:bookmarkEnd w:id="50"/>
      <w:r>
        <w:rPr>
          <w:rFonts w:ascii="Times New Roman;Times;Serif" w:hAnsi="Times New Roman;Times;Serif"/>
          <w:b/>
          <w:i w:val="false"/>
          <w:caps w:val="false"/>
          <w:smallCaps w:val="false"/>
          <w:sz w:val="20"/>
        </w:rPr>
        <w:t>Investor Information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are subject to the informational requirements of the Exchange Act and, accordingly, file periodic reports, proxy statements and other information with the Securities and Exchange Commission (the “SEC”). Such reports, proxy statements and other information may be obtained by visiting the Public Reference Room of the SEC at 100 F Street, N.E., Washington, DC 20549 or by calling the SEC at 1-800-SEC-0330. In addition, the SEC maintains an Internet site </w:t>
      </w:r>
      <w:r>
        <w:rPr>
          <w:rFonts w:ascii="Times New Roman;Times;Serif" w:hAnsi="Times New Roman;Times;Serif"/>
          <w:b/>
          <w:i w:val="false"/>
          <w:caps w:val="false"/>
          <w:smallCaps w:val="false"/>
          <w:sz w:val="20"/>
        </w:rPr>
        <w:t xml:space="preserve">(http://www.sec.gov) </w:t>
      </w:r>
      <w:r>
        <w:rPr>
          <w:rFonts w:ascii="Times New Roman;Times;Serif" w:hAnsi="Times New Roman;Times;Serif"/>
          <w:b w:val="false"/>
          <w:i w:val="false"/>
          <w:caps w:val="false"/>
          <w:smallCaps w:val="false"/>
          <w:sz w:val="20"/>
        </w:rPr>
        <w:t>that contains reports, proxy and information statements and other information regarding issuers that file electronically.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Financial and other information may also be accessed at our website. The address is to </w:t>
      </w:r>
      <w:r>
        <w:rPr>
          <w:rFonts w:ascii="Times New Roman;Times;Serif" w:hAnsi="Times New Roman;Times;Serif"/>
          <w:b w:val="false"/>
          <w:i w:val="false"/>
          <w:caps w:val="false"/>
          <w:smallCaps w:val="false"/>
          <w:sz w:val="20"/>
          <w:u w:val="single"/>
        </w:rPr>
        <w:t>ir.solesence.com</w:t>
      </w:r>
      <w:r>
        <w:rPr>
          <w:rFonts w:ascii="Times New Roman;Times;Serif" w:hAnsi="Times New Roman;Times;Serif"/>
          <w:b w:val="false"/>
          <w:i w:val="false"/>
          <w:caps w:val="false"/>
          <w:smallCaps w:val="false"/>
          <w:sz w:val="20"/>
        </w:rPr>
        <w:t>. We make available, free of charge, copies of our annual report on Form 10-K, quarterly reports on Form 10-Q, current reports on Form 8-K and amendments to those reports filed or furnished pursuant to Section 13(a) or 15(d) of the Exchange Act as soon as reasonably practicable after filing such material electronically with, or otherwise furnishing it to, the SEC, and intend to make all such reports and amendments to reports available free of charge on our website. We have included our website address throughout this Form 10-K as textual references only. The information contained on, or accessible through, our website is not incorporated into this Form 10-K.</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bookmarkStart w:id="51" w:name="solesence10ka021"/>
      <w:bookmarkEnd w:id="51"/>
      <w:r>
        <w:rPr>
          <w:rFonts w:ascii="Times New Roman;Times;Serif" w:hAnsi="Times New Roman;Times;Serif"/>
          <w:b/>
          <w:i w:val="false"/>
          <w:caps w:val="false"/>
          <w:smallCaps w:val="false"/>
          <w:sz w:val="20"/>
        </w:rPr>
        <w:t>Item 1A. Risk Factors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required for a smaller reporting company.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52" w:name="solesence10ka022"/>
      <w:bookmarkEnd w:id="52"/>
      <w:r>
        <w:rPr>
          <w:rFonts w:ascii="Times New Roman;Times;Serif" w:hAnsi="Times New Roman;Times;Serif"/>
          <w:b/>
          <w:i w:val="false"/>
          <w:caps w:val="false"/>
          <w:smallCaps w:val="false"/>
          <w:sz w:val="20"/>
        </w:rPr>
        <w:t>Item 1B. Unresolved Staff Comments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required for a smaller reporting company.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53" w:name="solesence10ka023"/>
      <w:bookmarkEnd w:id="53"/>
      <w:r>
        <w:rPr>
          <w:rFonts w:ascii="Times New Roman;Times;Serif" w:hAnsi="Times New Roman;Times;Serif"/>
          <w:b/>
          <w:i w:val="false"/>
          <w:caps w:val="false"/>
          <w:smallCaps w:val="false"/>
          <w:sz w:val="20"/>
        </w:rPr>
        <w:t>Item 1C. Cybersecurity</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bookmarkStart w:id="54" w:name="xdx_804_ecyd--CybersecurityRiskManagemen"/>
      <w:bookmarkEnd w:id="54"/>
      <w:r>
        <w:rPr>
          <w:rFonts w:ascii="Times New Roman;Times;Serif" w:hAnsi="Times New Roman;Times;Serif"/>
          <w:b/>
          <w:i w:val="false"/>
          <w:caps w:val="false"/>
          <w:smallCaps w:val="false"/>
          <w:sz w:val="20"/>
        </w:rPr>
        <w:t>Risk Assessment and Strategy</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regularly evaluates cybersecurity risk from computer viruses and more sophisticated and targeted cyber-related attacks such as ransomware, as well as cybersecurity failures resulting from human error and technological errors.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overall strategy in combatting known cybersecurity risks includes a variety of individual tactics, including: </w:t>
      </w:r>
    </w:p>
    <w:p>
      <w:pPr>
        <w:pStyle w:val="TextBody"/>
        <w:bidi w:val="0"/>
        <w:spacing w:before="0" w:after="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use of antivirus software, virtual private networks, email security, as well as other software to prevent and detect data intrusions.</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deployment of updates and patches as they are available and maintaining the current versions of major software to reduce the exposure to vulnerabilities.</w:t>
            </w:r>
          </w:p>
        </w:tc>
      </w:tr>
    </w:tbl>
    <w:tbl>
      <w:tblPr>
        <w:tblW w:w="7203" w:type="dxa"/>
        <w:jc w:val="left"/>
        <w:tblInd w:w="0" w:type="dxa"/>
        <w:tblLayout w:type="fixed"/>
        <w:tblCellMar>
          <w:top w:w="0" w:type="dxa"/>
          <w:left w:w="0" w:type="dxa"/>
          <w:bottom w:w="0" w:type="dxa"/>
          <w:right w:w="0" w:type="dxa"/>
        </w:tblCellMar>
      </w:tblPr>
      <w:tblGrid>
        <w:gridCol w:w="38"/>
        <w:gridCol w:w="170"/>
        <w:gridCol w:w="69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9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55" w:name="xdx_903_ecyd--CybersecurityRiskManagemen"/>
            <w:bookmarkEnd w:id="55"/>
            <w:r>
              <w:rPr>
                <w:rFonts w:ascii="Times New Roman;Times;Serif" w:hAnsi="Times New Roman;Times;Serif"/>
                <w:b w:val="false"/>
                <w:i w:val="false"/>
                <w:caps w:val="false"/>
                <w:smallCaps w:val="false"/>
                <w:sz w:val="20"/>
              </w:rPr>
              <w:t>If necessary, the use of third-party security experts if and when an incident is detected.</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bookmarkStart w:id="56" w:name="xdx_907_ecyd--CybersecurityRiskMateriall"/>
      <w:bookmarkEnd w:id="56"/>
      <w:r>
        <w:rPr>
          <w:rFonts w:ascii="Times New Roman;Times;Serif" w:hAnsi="Times New Roman;Times;Serif"/>
          <w:b w:val="false"/>
          <w:i w:val="false"/>
          <w:caps w:val="false"/>
          <w:smallCaps w:val="false"/>
          <w:sz w:val="20"/>
        </w:rPr>
        <w:t>We are not aware of having experienced any material cybersecurity incidents in 2025. We are not aware of any existent cybersecurity threats that would materially affect, or are reasonably likely to materially affect, our business strategy, results of operations or financial conditions.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bookmarkStart w:id="57" w:name="xdx_80E_ecyd--CybersecurityRiskBoardOfDi"/>
      <w:bookmarkEnd w:id="57"/>
      <w:r>
        <w:rPr>
          <w:rFonts w:ascii="Times New Roman;Times;Serif" w:hAnsi="Times New Roman;Times;Serif"/>
          <w:b/>
          <w:i w:val="false"/>
          <w:caps w:val="false"/>
          <w:smallCaps w:val="false"/>
          <w:sz w:val="20"/>
        </w:rPr>
        <w:t>Management Oversight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bookmarkStart w:id="58" w:name="xdx_90C_ecyd--CybersecurityRiskRoleOfMan"/>
      <w:bookmarkEnd w:id="58"/>
      <w:r>
        <w:rPr>
          <w:rFonts w:ascii="Times New Roman;Times;Serif" w:hAnsi="Times New Roman;Times;Serif"/>
          <w:b w:val="false"/>
          <w:i w:val="false"/>
          <w:caps w:val="false"/>
          <w:smallCaps w:val="false"/>
          <w:sz w:val="20"/>
        </w:rPr>
        <w:t>Day-to-day management of cybersecurity threats is conducted by our information technology consultant which is charged with identifying and reporting threats to senior management, which then reports to the Board of Directors.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Oversight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bookmarkStart w:id="59" w:name="xdx_902_ecyd--CybersecurityRiskBoardComm"/>
      <w:bookmarkEnd w:id="59"/>
      <w:r>
        <w:rPr>
          <w:rFonts w:ascii="Times New Roman;Times;Serif" w:hAnsi="Times New Roman;Times;Serif"/>
          <w:b w:val="false"/>
          <w:i w:val="false"/>
          <w:caps w:val="false"/>
          <w:smallCaps w:val="false"/>
          <w:sz w:val="20"/>
        </w:rPr>
        <w:t>The Board of Directors is responsible for oversight of management’s efforts to eliminate cybersecurity risks.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bookmarkStart w:id="60" w:name="solesence10ka024"/>
      <w:bookmarkStart w:id="61" w:name="xdx_81A_zvCRa8IgAODf"/>
      <w:bookmarkEnd w:id="60"/>
      <w:bookmarkEnd w:id="61"/>
      <w:r>
        <w:rPr>
          <w:rFonts w:ascii="Times New Roman;Times;Serif" w:hAnsi="Times New Roman;Times;Serif"/>
          <w:b/>
          <w:i w:val="false"/>
          <w:caps w:val="false"/>
          <w:smallCaps w:val="false"/>
          <w:sz w:val="20"/>
        </w:rPr>
        <w:t>Item 2. Properties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end of 2025 we operate two facilities in the Chicago suburbs - a 36,000 square-foot production, research and headquarters facility in Romeoville, Illinois and a 261,000 square-foot production and warehouse facility in Bolingbrook, Illinois. In late 2025 we consolidated our manufacturing operations in Burr Ridge, Illinois into our production facility in Bolingbrook.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Romeoville facility houses our headquarters, advanced engineering, manufacturing (including particle coating, particle dispersion and pilot-scale manufacturing), and research and development with three applications development and formulating laboratories. The Romeoville facility has a quality control laboratory designed for the dual purposes of validating operations to cGMP and ISO standards and production process control. This laboratory is equipped to handle many routine analytical and in-process techniques that are currently required. All Romeoville manufacturing processes are registered under ISO 9001, ISO 22716 and ISO 14001, and we believe that the particle coating processes used for our ingredients and fully formulated sunscreens and cosmetic products for personal care are in compliance with the cGMP requirements of the FDA. The Romeoville site is registered with the FDA for API manufacturing, manufacturing, and packaging.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Bolingbrook facility houses our warehousing operations, sunscreen lotions manufacturing, dispersion manufacturing, filling and assembly of our consumer products and additional quality control spaces.  The Bolingbrook facility is registered with the FDA for OTC drug manufacturing and packaging, with the site registered under ISO 9001, ISO 22716 and ISO 14001, and we believe that the particle coating processes used for our ingredients and fully formulated sunscreens and cosmetic products for personal care are in compliance with the cGMP requirements of the FDA. The Bolingbrook site is registered with the FDA for API manufacturing, manufacturing, and packaging.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lease our Romeoville and Bolingbrook facilities. The Romeoville lease term was extended to January 31, 2028, in August 2024. During December 2021, we entered into a Standard Form Industrial Lease for a new facility in Bolingbrook, Illinois, amended May 12, 2025 which, among other things, will end in May of 2032, with options to extend this lease at market rent for each of three concurrent five-year periods.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the addition of the Bolingbrook space in 2021, we believe that our leased facilities will provide sufficient capacity to fulfill current known customer demand as well as allow for the creation of substantial additional space to enable expansion of key production processes. We believe we will be able to expand certain operations, and consolidate others, to support additional growth in an economically efficient manner. We believe that our capital expenditures made in 2025, and projected for 2026, will support currently anticipated demand from existing and expected customers through 2026 and into 2027. Management continues to spend considerable time determining how best to optimize our facilities to maximize growth over the next few years. Our actual future capacity requirements will depend on many factors, including new and potential customer acceptance of our current and potential engineered materials, applications and products, both expected and currently unplanned growth from existing customers, continued progress in our research and development activities and product testing programs and the magnitude of these activities and programs.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62" w:name="solesence10ka025"/>
      <w:bookmarkEnd w:id="62"/>
      <w:r>
        <w:rPr>
          <w:rFonts w:ascii="Times New Roman;Times;Serif" w:hAnsi="Times New Roman;Times;Serif"/>
          <w:b/>
          <w:i w:val="false"/>
          <w:caps w:val="false"/>
          <w:smallCaps w:val="false"/>
          <w:sz w:val="20"/>
        </w:rPr>
        <w:t>Item 3. Legal Proceedings</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on October 31, 2025, we entered into a Confidential Settlement Agreement and Release (the “Settlement Agreement”) with Solarium Brands, LLC and A-Frame Brands, LLC (collectively, “Solarium”). Pursuant to the Settlement Agreement, we and Solarium agreed to settle and compromise disputes arising from certain consumer personal care products that we previously manufactured for and sold to Solarium. As part of the Settlement Agreement, Solarium agreed to pay us a one-time settlement payment of $675,000 on or before January 15, 2026, which payment was made in December 2025 </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63" w:name="solesence10ka026"/>
      <w:bookmarkEnd w:id="63"/>
      <w:r>
        <w:rPr>
          <w:rFonts w:ascii="Times New Roman;Times;Serif" w:hAnsi="Times New Roman;Times;Serif"/>
          <w:b/>
          <w:i w:val="false"/>
          <w:caps w:val="false"/>
          <w:smallCaps w:val="false"/>
          <w:sz w:val="20"/>
        </w:rPr>
        <w:t>Item 4. Mine Safety Disclosures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64" w:name="solesence10ka027"/>
      <w:bookmarkEnd w:id="64"/>
      <w:r>
        <w:rPr>
          <w:rFonts w:ascii="Times New Roman;Times;Serif" w:hAnsi="Times New Roman;Times;Serif"/>
          <w:b/>
          <w:i w:val="false"/>
          <w:caps w:val="false"/>
          <w:smallCaps w:val="false"/>
          <w:sz w:val="20"/>
        </w:rPr>
        <w:t>PART II</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bookmarkStart w:id="65" w:name="solesence10ka028"/>
      <w:bookmarkEnd w:id="65"/>
      <w:r>
        <w:rPr>
          <w:rFonts w:ascii="Times New Roman;Times;Serif" w:hAnsi="Times New Roman;Times;Serif"/>
          <w:b/>
          <w:i w:val="false"/>
          <w:caps w:val="false"/>
          <w:smallCaps w:val="false"/>
          <w:sz w:val="20"/>
        </w:rPr>
        <w:t>Item 5. Market for Registrant’s Common Equity, Related Stockholder Matters and Issuer Purchases of Equity Securities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 Information; Holders; Dividends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traded under the symbol SLSN on the NASDAQ stock exchange. The following table sets forth, for the periods indicated, the range of high and low sale prices for our common stock on the NASDAQ stock exchange or the OTCQB marketplace (where our common stock was traded prior to April 2025):</w:t>
      </w:r>
    </w:p>
    <w:p>
      <w:pPr>
        <w:pStyle w:val="TextBody"/>
        <w:bidi w:val="0"/>
        <w:spacing w:before="0" w:after="0"/>
        <w:ind w:left="0" w:right="0" w:firstLine="720"/>
        <w:jc w:val="both"/>
        <w:rPr>
          <w:caps w:val="false"/>
          <w:smallCaps w:val="false"/>
        </w:rPr>
      </w:pPr>
      <w:r>
        <w:rPr>
          <w:caps w:val="false"/>
          <w:smallCaps w:val="false"/>
        </w:rPr>
        <w:t> </w:t>
      </w:r>
    </w:p>
    <w:tbl>
      <w:tblPr>
        <w:tblW w:w="5095" w:type="dxa"/>
        <w:jc w:val="left"/>
        <w:tblInd w:w="0" w:type="dxa"/>
        <w:tblLayout w:type="fixed"/>
        <w:tblCellMar>
          <w:top w:w="0" w:type="dxa"/>
          <w:left w:w="0" w:type="dxa"/>
          <w:bottom w:w="0" w:type="dxa"/>
          <w:right w:w="0" w:type="dxa"/>
        </w:tblCellMar>
      </w:tblPr>
      <w:tblGrid>
        <w:gridCol w:w="3680"/>
        <w:gridCol w:w="60"/>
        <w:gridCol w:w="140"/>
        <w:gridCol w:w="440"/>
        <w:gridCol w:w="60"/>
        <w:gridCol w:w="60"/>
        <w:gridCol w:w="140"/>
        <w:gridCol w:w="440"/>
        <w:gridCol w:w="75"/>
      </w:tblGrid>
      <w:tr>
        <w:trPr/>
        <w:tc>
          <w:tcPr>
            <w:tcW w:w="36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High</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Low</w:t>
            </w:r>
          </w:p>
        </w:tc>
        <w:tc>
          <w:tcPr>
            <w:tcW w:w="75" w:type="dxa"/>
            <w:tcBorders/>
            <w:vAlign w:val="center"/>
          </w:tcPr>
          <w:p>
            <w:pPr>
              <w:pStyle w:val="TableContents"/>
              <w:bidi w:val="0"/>
              <w:spacing w:before="0" w:after="283"/>
              <w:jc w:val="left"/>
              <w:rPr/>
            </w:pPr>
            <w:r>
              <w:rPr/>
              <w:t> </w:t>
            </w:r>
          </w:p>
        </w:tc>
      </w:tr>
      <w:tr>
        <w:trPr/>
        <w:tc>
          <w:tcPr>
            <w:tcW w:w="3680" w:type="dxa"/>
            <w:tcBorders/>
            <w:vAlign w:val="center"/>
          </w:tcPr>
          <w:p>
            <w:pPr>
              <w:pStyle w:val="TableContents"/>
              <w:bidi w:val="0"/>
              <w:spacing w:before="0" w:after="283"/>
              <w:jc w:val="left"/>
              <w:rPr/>
            </w:pPr>
            <w:r>
              <w:rPr/>
              <w:t>Fiscal year ended December 31, 2025:</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680" w:type="dxa"/>
            <w:tcBorders/>
            <w:shd w:fill="CCEEFF" w:val="clear"/>
            <w:vAlign w:val="center"/>
          </w:tcPr>
          <w:p>
            <w:pPr>
              <w:pStyle w:val="TableContents"/>
              <w:bidi w:val="0"/>
              <w:spacing w:before="0" w:after="283"/>
              <w:jc w:val="left"/>
              <w:rPr/>
            </w:pPr>
            <w:r>
              <w:rPr/>
              <w:t>First Quarter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440" w:type="dxa"/>
            <w:tcBorders/>
            <w:shd w:fill="CCEEFF" w:val="clear"/>
            <w:vAlign w:val="center"/>
          </w:tcPr>
          <w:p>
            <w:pPr>
              <w:pStyle w:val="TableContents"/>
              <w:bidi w:val="0"/>
              <w:spacing w:before="0" w:after="283"/>
              <w:jc w:val="right"/>
              <w:rPr/>
            </w:pPr>
            <w:r>
              <w:rPr/>
              <w:t>3.00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440" w:type="dxa"/>
            <w:tcBorders/>
            <w:shd w:fill="CCEEFF" w:val="clear"/>
            <w:vAlign w:val="center"/>
          </w:tcPr>
          <w:p>
            <w:pPr>
              <w:pStyle w:val="TableContents"/>
              <w:bidi w:val="0"/>
              <w:spacing w:before="0" w:after="283"/>
              <w:jc w:val="right"/>
              <w:rPr/>
            </w:pPr>
            <w:r>
              <w:rPr/>
              <w:t>2.05</w:t>
            </w:r>
          </w:p>
        </w:tc>
        <w:tc>
          <w:tcPr>
            <w:tcW w:w="75" w:type="dxa"/>
            <w:tcBorders/>
            <w:shd w:fill="CCEEFF" w:val="clear"/>
            <w:vAlign w:val="center"/>
          </w:tcPr>
          <w:p>
            <w:pPr>
              <w:pStyle w:val="TableContents"/>
              <w:bidi w:val="0"/>
              <w:spacing w:before="0" w:after="283"/>
              <w:jc w:val="left"/>
              <w:rPr/>
            </w:pPr>
            <w:r>
              <w:rPr/>
              <w:t> </w:t>
            </w:r>
          </w:p>
        </w:tc>
      </w:tr>
      <w:tr>
        <w:trPr/>
        <w:tc>
          <w:tcPr>
            <w:tcW w:w="3680" w:type="dxa"/>
            <w:tcBorders/>
            <w:shd w:fill="FFFFFF" w:val="clear"/>
            <w:vAlign w:val="center"/>
          </w:tcPr>
          <w:p>
            <w:pPr>
              <w:pStyle w:val="TableContents"/>
              <w:bidi w:val="0"/>
              <w:spacing w:before="0" w:after="283"/>
              <w:jc w:val="left"/>
              <w:rPr/>
            </w:pPr>
            <w:r>
              <w:rPr/>
              <w:t>Second Quarter</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pPr>
            <w:r>
              <w:rPr/>
              <w:t>5.21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pPr>
            <w:r>
              <w:rPr/>
              <w:t>1.68</w:t>
            </w:r>
          </w:p>
        </w:tc>
        <w:tc>
          <w:tcPr>
            <w:tcW w:w="75" w:type="dxa"/>
            <w:tcBorders/>
            <w:shd w:fill="FFFFFF" w:val="clear"/>
            <w:vAlign w:val="center"/>
          </w:tcPr>
          <w:p>
            <w:pPr>
              <w:pStyle w:val="TableContents"/>
              <w:bidi w:val="0"/>
              <w:spacing w:before="0" w:after="283"/>
              <w:jc w:val="left"/>
              <w:rPr/>
            </w:pPr>
            <w:r>
              <w:rPr/>
              <w:t> </w:t>
            </w:r>
          </w:p>
        </w:tc>
      </w:tr>
      <w:tr>
        <w:trPr/>
        <w:tc>
          <w:tcPr>
            <w:tcW w:w="3680" w:type="dxa"/>
            <w:tcBorders/>
            <w:shd w:fill="CCEEFF" w:val="clear"/>
            <w:vAlign w:val="center"/>
          </w:tcPr>
          <w:p>
            <w:pPr>
              <w:pStyle w:val="TableContents"/>
              <w:bidi w:val="0"/>
              <w:spacing w:before="0" w:after="283"/>
              <w:jc w:val="left"/>
              <w:rPr/>
            </w:pPr>
            <w:r>
              <w:rPr/>
              <w:t>Third Quarter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4.48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2.54</w:t>
            </w:r>
          </w:p>
        </w:tc>
        <w:tc>
          <w:tcPr>
            <w:tcW w:w="75" w:type="dxa"/>
            <w:tcBorders/>
            <w:shd w:fill="CCEEFF" w:val="clear"/>
            <w:vAlign w:val="center"/>
          </w:tcPr>
          <w:p>
            <w:pPr>
              <w:pStyle w:val="TableContents"/>
              <w:bidi w:val="0"/>
              <w:spacing w:before="0" w:after="283"/>
              <w:jc w:val="left"/>
              <w:rPr/>
            </w:pPr>
            <w:r>
              <w:rPr/>
              <w:t> </w:t>
            </w:r>
          </w:p>
        </w:tc>
      </w:tr>
      <w:tr>
        <w:trPr/>
        <w:tc>
          <w:tcPr>
            <w:tcW w:w="3680" w:type="dxa"/>
            <w:tcBorders/>
            <w:shd w:fill="FFFFFF" w:val="clear"/>
            <w:vAlign w:val="center"/>
          </w:tcPr>
          <w:p>
            <w:pPr>
              <w:pStyle w:val="TableContents"/>
              <w:bidi w:val="0"/>
              <w:spacing w:before="0" w:after="283"/>
              <w:jc w:val="left"/>
              <w:rPr/>
            </w:pPr>
            <w:r>
              <w:rPr/>
              <w:t>Fourth Quarter</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pPr>
            <w:r>
              <w:rPr/>
              <w:t>4.36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pPr>
            <w:r>
              <w:rPr/>
              <w:t>1.64</w:t>
            </w:r>
          </w:p>
        </w:tc>
        <w:tc>
          <w:tcPr>
            <w:tcW w:w="75" w:type="dxa"/>
            <w:tcBorders/>
            <w:shd w:fill="FFFFFF" w:val="clear"/>
            <w:vAlign w:val="center"/>
          </w:tcPr>
          <w:p>
            <w:pPr>
              <w:pStyle w:val="TableContents"/>
              <w:bidi w:val="0"/>
              <w:spacing w:before="0" w:after="283"/>
              <w:jc w:val="left"/>
              <w:rPr/>
            </w:pPr>
            <w:r>
              <w:rPr/>
              <w:t> </w:t>
            </w:r>
          </w:p>
        </w:tc>
      </w:tr>
      <w:tr>
        <w:trPr/>
        <w:tc>
          <w:tcPr>
            <w:tcW w:w="3680" w:type="dxa"/>
            <w:tcBorders/>
            <w:shd w:fill="CCEEFF" w:val="clear"/>
            <w:vAlign w:val="center"/>
          </w:tcPr>
          <w:p>
            <w:pPr>
              <w:pStyle w:val="TableContents"/>
              <w:bidi w:val="0"/>
              <w:spacing w:before="0" w:after="283"/>
              <w:jc w:val="left"/>
              <w:rPr/>
            </w:pPr>
            <w:r>
              <w:rPr/>
              <w:t>Fiscal year ended December 31, 2024:</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680" w:type="dxa"/>
            <w:tcBorders/>
            <w:shd w:fill="FFFFFF" w:val="clear"/>
            <w:vAlign w:val="center"/>
          </w:tcPr>
          <w:p>
            <w:pPr>
              <w:pStyle w:val="TableContents"/>
              <w:bidi w:val="0"/>
              <w:spacing w:before="0" w:after="283"/>
              <w:jc w:val="left"/>
              <w:rPr/>
            </w:pPr>
            <w:r>
              <w:rPr/>
              <w:t>First Quarter</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440" w:type="dxa"/>
            <w:tcBorders/>
            <w:shd w:fill="FFFFFF" w:val="clear"/>
            <w:vAlign w:val="center"/>
          </w:tcPr>
          <w:p>
            <w:pPr>
              <w:pStyle w:val="TableContents"/>
              <w:bidi w:val="0"/>
              <w:spacing w:before="0" w:after="283"/>
              <w:jc w:val="right"/>
              <w:rPr/>
            </w:pPr>
            <w:r>
              <w:rPr/>
              <w:t>0.98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440" w:type="dxa"/>
            <w:tcBorders/>
            <w:shd w:fill="FFFFFF" w:val="clear"/>
            <w:vAlign w:val="center"/>
          </w:tcPr>
          <w:p>
            <w:pPr>
              <w:pStyle w:val="TableContents"/>
              <w:bidi w:val="0"/>
              <w:spacing w:before="0" w:after="283"/>
              <w:jc w:val="right"/>
              <w:rPr/>
            </w:pPr>
            <w:r>
              <w:rPr/>
              <w:t>0.43</w:t>
            </w:r>
          </w:p>
        </w:tc>
        <w:tc>
          <w:tcPr>
            <w:tcW w:w="75" w:type="dxa"/>
            <w:tcBorders/>
            <w:shd w:fill="FFFFFF" w:val="clear"/>
            <w:vAlign w:val="center"/>
          </w:tcPr>
          <w:p>
            <w:pPr>
              <w:pStyle w:val="TableContents"/>
              <w:bidi w:val="0"/>
              <w:spacing w:before="0" w:after="283"/>
              <w:jc w:val="left"/>
              <w:rPr/>
            </w:pPr>
            <w:r>
              <w:rPr/>
              <w:t> </w:t>
            </w:r>
          </w:p>
        </w:tc>
      </w:tr>
      <w:tr>
        <w:trPr/>
        <w:tc>
          <w:tcPr>
            <w:tcW w:w="3680" w:type="dxa"/>
            <w:tcBorders/>
            <w:shd w:fill="CCEEFF" w:val="clear"/>
            <w:vAlign w:val="center"/>
          </w:tcPr>
          <w:p>
            <w:pPr>
              <w:pStyle w:val="TableContents"/>
              <w:bidi w:val="0"/>
              <w:spacing w:before="0" w:after="283"/>
              <w:jc w:val="left"/>
              <w:rPr/>
            </w:pPr>
            <w:r>
              <w:rPr/>
              <w:t>Second Quarter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1.71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0.70</w:t>
            </w:r>
          </w:p>
        </w:tc>
        <w:tc>
          <w:tcPr>
            <w:tcW w:w="75" w:type="dxa"/>
            <w:tcBorders/>
            <w:shd w:fill="CCEEFF" w:val="clear"/>
            <w:vAlign w:val="center"/>
          </w:tcPr>
          <w:p>
            <w:pPr>
              <w:pStyle w:val="TableContents"/>
              <w:bidi w:val="0"/>
              <w:spacing w:before="0" w:after="283"/>
              <w:jc w:val="left"/>
              <w:rPr/>
            </w:pPr>
            <w:r>
              <w:rPr/>
              <w:t> </w:t>
            </w:r>
          </w:p>
        </w:tc>
      </w:tr>
      <w:tr>
        <w:trPr/>
        <w:tc>
          <w:tcPr>
            <w:tcW w:w="3680" w:type="dxa"/>
            <w:tcBorders/>
            <w:shd w:fill="FFFFFF" w:val="clear"/>
            <w:vAlign w:val="center"/>
          </w:tcPr>
          <w:p>
            <w:pPr>
              <w:pStyle w:val="TableContents"/>
              <w:bidi w:val="0"/>
              <w:spacing w:before="0" w:after="283"/>
              <w:jc w:val="left"/>
              <w:rPr/>
            </w:pPr>
            <w:r>
              <w:rPr/>
              <w:t>Third Quarter</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pPr>
            <w:r>
              <w:rPr/>
              <w:t>1.65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pPr>
            <w:r>
              <w:rPr/>
              <w:t>1.33</w:t>
            </w:r>
          </w:p>
        </w:tc>
        <w:tc>
          <w:tcPr>
            <w:tcW w:w="75" w:type="dxa"/>
            <w:tcBorders/>
            <w:shd w:fill="FFFFFF" w:val="clear"/>
            <w:vAlign w:val="center"/>
          </w:tcPr>
          <w:p>
            <w:pPr>
              <w:pStyle w:val="TableContents"/>
              <w:bidi w:val="0"/>
              <w:spacing w:before="0" w:after="283"/>
              <w:jc w:val="left"/>
              <w:rPr/>
            </w:pPr>
            <w:r>
              <w:rPr/>
              <w:t> </w:t>
            </w:r>
          </w:p>
        </w:tc>
      </w:tr>
      <w:tr>
        <w:trPr/>
        <w:tc>
          <w:tcPr>
            <w:tcW w:w="3680" w:type="dxa"/>
            <w:tcBorders/>
            <w:shd w:fill="CCEEFF" w:val="clear"/>
            <w:vAlign w:val="center"/>
          </w:tcPr>
          <w:p>
            <w:pPr>
              <w:pStyle w:val="TableContents"/>
              <w:bidi w:val="0"/>
              <w:spacing w:before="0" w:after="283"/>
              <w:jc w:val="left"/>
              <w:rPr/>
            </w:pPr>
            <w:r>
              <w:rPr/>
              <w:t>Fourth Quarter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2.88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1.30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30, 2026, the last reported sale price of our common stock was $0.90 per share, and there were 120 holders of record of our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never declared or paid any cash dividends on our common stock and do not currently anticipate paying any cash dividends or other distributions on our common stock in the foreseeable future. We intend to retain any future earnings for reinvestment in our business. Any future determination to pay cash dividends will be at the discretion of our Board of Directors and will be dependent upon our financial condition, results of operations, capital requirements and such other factors deemed relevant by our Board of Directors. Our Business Loan Agreements with Beachcorp, LLC (“Beachcorp”), Strandler, LLC (“Strandler”), and Libertyville Bank and Trust Company (“Libertyville”), respectively, require us to obtain the written consent of the lender prior to paying any cash dividends on our common stock.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66" w:name="solesence10ka029"/>
      <w:bookmarkEnd w:id="66"/>
      <w:r>
        <w:rPr>
          <w:rFonts w:ascii="Times New Roman;Times;Serif" w:hAnsi="Times New Roman;Times;Serif"/>
          <w:b/>
          <w:i w:val="false"/>
          <w:caps w:val="false"/>
          <w:smallCaps w:val="false"/>
          <w:sz w:val="20"/>
        </w:rPr>
        <w:t>Item 6. [Reserved]  </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67" w:name="solesence10ka030"/>
      <w:bookmarkEnd w:id="67"/>
      <w:r>
        <w:rPr>
          <w:rFonts w:ascii="Times New Roman;Times;Serif" w:hAnsi="Times New Roman;Times;Serif"/>
          <w:b/>
          <w:i w:val="false"/>
          <w:caps w:val="false"/>
          <w:smallCaps w:val="false"/>
          <w:sz w:val="20"/>
        </w:rPr>
        <w:t>Item 7. Management’s Discussion and Analysis of Financial Condition and Results of Operations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discussion and analysis should be read in conjunction with risks discussed in the financial statements and related notes thereto appearing elsewhere in this Form 10-K. When used in the following discussions, the words “anticipates,” “believes,” “estimates,” “expects,” “plans,” “intends” and similar expressions are intended to identify forward-looking statements. Such statements are subject to certain risks, uncertainties and contingencies that could cause actual results, performance or achievements to differ materially from those expressed in, or implied by, such statements. See the “Forward Looking Statements” section in Part 1, Item 1, of this Form 10-K.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Solésence is a health-oriented, science-driven company, focused on various skin health, beauty and wellness markets. Our primary skin health products are fully developed prestige skin care formulations with mineral-based UV protection enabled by our proprietary Active Pharmaceutical Ingredients (“APIs”), which are also marketed as APIs for sale to manufacturers of other types of skin health products, including sunscreens and daily care products.  Additionally, we continue to sell products in legacy markets including medical diagnostics, architectural coatings, industrial coating applications, abrasion-resistant additives, and plastics additives applications— all of which currently fall into the advanced materials product category. </w:t>
      </w:r>
      <w:r>
        <w:rPr>
          <w:rFonts w:ascii="Times New Roman;Times;Serif" w:hAnsi="Times New Roman;Times;Serif"/>
          <w:b w:val="false"/>
          <w:i w:val="false"/>
          <w:caps w:val="false"/>
          <w:smallCaps w:val="false"/>
          <w:sz w:val="20"/>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Estimates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monitors the value of inventory for the effects of aging, obsolescence, and seasonality. Consistent with the provisions in FASB ASC 330-10-35, we adjust inventory valuation upon management’s determination that the potential for obsolete materials exist. The majority of the reserve is done by specific identification. Factors include inventory in quarantine, aging finished goods or obsolete materials as identified by management. In the application of this policy in 2025 and 2024, management deemed a portion of inventory will likely experience such an impairment and elected to apply a $2,721,000 and $1,987,000, respectively, inventory reserve in anticipation. Some of the materials in question are nearing expiration and therefore more difficult to sell, some represent soon-to-be obsolete products, and some are raw materials that we no longer use regularly.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assumptions are necessary to assess the risk and uncertainty of financial information, such as cash flow projections, availability of capital if needed to support the ongoing operations of the business, and our expected compliance with contractual commitments. Any changes in those plans or assumptions could have a material impact on our liquidity and financial condition. While we have seen costs continue to increase on an inflationary basis as we enter 2026, it is our belief that we will be able to offset much of this cost as we gain greater production efficiencies and seek to increase our pricing where possible.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648"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Years Ended December 31, 2025 and 2024</w:t>
      </w:r>
    </w:p>
    <w:p>
      <w:pPr>
        <w:pStyle w:val="TextBody"/>
        <w:bidi w:val="0"/>
        <w:spacing w:before="0" w:after="0"/>
        <w:ind w:left="648"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revenue increased to $62,064 in 2025, compared to $52,347 in 2024. A substantial majority of our revenue for each year is from our largest customers, in particular, sales to our largest customer in skin care and sunscreen applications and finished skin health products marketed through our consumer products. Product revenue, the primary component of our total revenue, increased to $61,794 in 2025, compared to $51,890 in 2024. This increase was due to an increase in revenue from our consumer products partially offset by decreased personal care ingredients and advanced materials products.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Significant Customers</w:t>
      </w:r>
    </w:p>
    <w:p>
      <w:pPr>
        <w:pStyle w:val="TextBody"/>
        <w:bidi w:val="0"/>
        <w:spacing w:before="0" w:after="0"/>
        <w:ind w:left="0" w:right="0" w:firstLine="720"/>
        <w:jc w:val="center"/>
        <w:rPr>
          <w:caps w:val="false"/>
          <w:smallCaps w:val="false"/>
        </w:rPr>
      </w:pPr>
      <w:r>
        <w:rPr>
          <w:caps w:val="false"/>
          <w:smallCaps w:val="false"/>
        </w:rPr>
        <w:t> </w:t>
      </w:r>
    </w:p>
    <w:tbl>
      <w:tblPr>
        <w:tblW w:w="6064" w:type="dxa"/>
        <w:jc w:val="left"/>
        <w:tblInd w:w="0" w:type="dxa"/>
        <w:tblLayout w:type="fixed"/>
        <w:tblCellMar>
          <w:top w:w="0" w:type="dxa"/>
          <w:left w:w="0" w:type="dxa"/>
          <w:bottom w:w="0" w:type="dxa"/>
          <w:right w:w="0" w:type="dxa"/>
        </w:tblCellMar>
      </w:tblPr>
      <w:tblGrid>
        <w:gridCol w:w="1220"/>
        <w:gridCol w:w="60"/>
        <w:gridCol w:w="2450"/>
        <w:gridCol w:w="60"/>
        <w:gridCol w:w="134"/>
        <w:gridCol w:w="581"/>
        <w:gridCol w:w="480"/>
        <w:gridCol w:w="134"/>
        <w:gridCol w:w="134"/>
        <w:gridCol w:w="581"/>
        <w:gridCol w:w="230"/>
      </w:tblGrid>
      <w:tr>
        <w:trPr/>
        <w:tc>
          <w:tcPr>
            <w:tcW w:w="12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4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044" w:type="dxa"/>
            <w:gridSpan w:val="6"/>
            <w:tcBorders/>
            <w:vAlign w:val="center"/>
          </w:tcPr>
          <w:p>
            <w:pPr>
              <w:pStyle w:val="TableContents"/>
              <w:bidi w:val="0"/>
              <w:spacing w:before="0" w:after="283"/>
              <w:jc w:val="center"/>
              <w:rPr>
                <w:b/>
              </w:rPr>
            </w:pPr>
            <w:r>
              <w:rPr>
                <w:b/>
              </w:rPr>
              <w:t>For the years ended</w:t>
            </w:r>
          </w:p>
        </w:tc>
        <w:tc>
          <w:tcPr>
            <w:tcW w:w="230" w:type="dxa"/>
            <w:tcBorders/>
            <w:vAlign w:val="center"/>
          </w:tcPr>
          <w:p>
            <w:pPr>
              <w:pStyle w:val="TableContents"/>
              <w:bidi w:val="0"/>
              <w:spacing w:before="0" w:after="283"/>
              <w:jc w:val="left"/>
              <w:rPr/>
            </w:pPr>
            <w:r>
              <w:rPr/>
              <w:t> </w:t>
            </w:r>
          </w:p>
        </w:tc>
      </w:tr>
      <w:tr>
        <w:trPr/>
        <w:tc>
          <w:tcPr>
            <w:tcW w:w="12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4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044"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December 31,</w:t>
            </w:r>
          </w:p>
        </w:tc>
        <w:tc>
          <w:tcPr>
            <w:tcW w:w="230" w:type="dxa"/>
            <w:tcBorders/>
            <w:vAlign w:val="center"/>
          </w:tcPr>
          <w:p>
            <w:pPr>
              <w:pStyle w:val="TableContents"/>
              <w:bidi w:val="0"/>
              <w:spacing w:before="0" w:after="283"/>
              <w:jc w:val="left"/>
              <w:rPr/>
            </w:pPr>
            <w:r>
              <w:rPr/>
              <w:t> </w:t>
            </w:r>
          </w:p>
        </w:tc>
      </w:tr>
      <w:tr>
        <w:trPr/>
        <w:tc>
          <w:tcPr>
            <w:tcW w:w="1220" w:type="dxa"/>
            <w:tcBorders>
              <w:bottom w:val="single" w:sz="8" w:space="0" w:color="000000"/>
            </w:tcBorders>
            <w:tcMar>
              <w:bottom w:w="28" w:type="dxa"/>
            </w:tcMar>
            <w:vAlign w:val="center"/>
          </w:tcPr>
          <w:p>
            <w:pPr>
              <w:pStyle w:val="TableContents"/>
              <w:bidi w:val="0"/>
              <w:spacing w:before="0" w:after="283"/>
              <w:jc w:val="center"/>
              <w:rPr>
                <w:b/>
              </w:rPr>
            </w:pPr>
            <w:r>
              <w:rPr>
                <w:b/>
              </w:rPr>
              <w:t>Customer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2450" w:type="dxa"/>
            <w:tcBorders>
              <w:bottom w:val="single" w:sz="8" w:space="0" w:color="000000"/>
            </w:tcBorders>
            <w:tcMar>
              <w:bottom w:w="28" w:type="dxa"/>
            </w:tcMar>
            <w:vAlign w:val="center"/>
          </w:tcPr>
          <w:p>
            <w:pPr>
              <w:pStyle w:val="TableContents"/>
              <w:bidi w:val="0"/>
              <w:spacing w:before="0" w:after="283"/>
              <w:jc w:val="left"/>
              <w:rPr>
                <w:b/>
              </w:rPr>
            </w:pPr>
            <w:r>
              <w:rPr>
                <w:b/>
              </w:rPr>
              <w:t>Product</w:t>
              <w:br/>
              <w:t>Category</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480" w:type="dxa"/>
            <w:tcBorders>
              <w:bottom w:val="single" w:sz="8" w:space="0" w:color="000000"/>
            </w:tcBorders>
            <w:tcMar>
              <w:bottom w:w="28" w:type="dxa"/>
            </w:tcMar>
            <w:vAlign w:val="center"/>
          </w:tcPr>
          <w:p>
            <w:pPr>
              <w:pStyle w:val="TableContents"/>
              <w:bidi w:val="0"/>
              <w:spacing w:before="0" w:after="283"/>
              <w:jc w:val="left"/>
              <w:rPr/>
            </w:pPr>
            <w:r>
              <w:rPr/>
              <w:t> </w:t>
            </w:r>
          </w:p>
        </w:tc>
        <w:tc>
          <w:tcPr>
            <w:tcW w:w="134" w:type="dxa"/>
            <w:tcBorders>
              <w:bottom w:val="single" w:sz="8" w:space="0" w:color="000000"/>
            </w:tcBorders>
            <w:tcMar>
              <w:bottom w:w="28" w:type="dxa"/>
            </w:tcMar>
            <w:vAlign w:val="center"/>
          </w:tcPr>
          <w:p>
            <w:pPr>
              <w:pStyle w:val="TableContents"/>
              <w:bidi w:val="0"/>
              <w:spacing w:before="0" w:after="283"/>
              <w:jc w:val="left"/>
              <w:rPr/>
            </w:pPr>
            <w:r>
              <w:rPr/>
              <w:t> </w:t>
            </w:r>
          </w:p>
        </w:tc>
        <w:tc>
          <w:tcPr>
            <w:tcW w:w="7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230"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1220" w:type="dxa"/>
            <w:tcBorders/>
            <w:shd w:fill="CCEEFF" w:val="clear"/>
            <w:vAlign w:val="center"/>
          </w:tcPr>
          <w:p>
            <w:pPr>
              <w:pStyle w:val="TableContents"/>
              <w:bidi w:val="0"/>
              <w:spacing w:before="0" w:after="283"/>
              <w:jc w:val="center"/>
              <w:rPr/>
            </w:pPr>
            <w:r>
              <w:rPr/>
              <w:t>1</w:t>
            </w:r>
          </w:p>
        </w:tc>
        <w:tc>
          <w:tcPr>
            <w:tcW w:w="60" w:type="dxa"/>
            <w:tcBorders/>
            <w:shd w:fill="CCEEFF" w:val="clear"/>
            <w:vAlign w:val="center"/>
          </w:tcPr>
          <w:p>
            <w:pPr>
              <w:pStyle w:val="TableContents"/>
              <w:bidi w:val="0"/>
              <w:spacing w:before="0" w:after="283"/>
              <w:jc w:val="left"/>
              <w:rPr/>
            </w:pPr>
            <w:r>
              <w:rPr/>
              <w:t> </w:t>
            </w:r>
          </w:p>
        </w:tc>
        <w:tc>
          <w:tcPr>
            <w:tcW w:w="2450" w:type="dxa"/>
            <w:tcBorders/>
            <w:shd w:fill="CCEEFF" w:val="clear"/>
            <w:vAlign w:val="center"/>
          </w:tcPr>
          <w:p>
            <w:pPr>
              <w:pStyle w:val="TableContents"/>
              <w:bidi w:val="0"/>
              <w:spacing w:before="0" w:after="283"/>
              <w:jc w:val="left"/>
              <w:rPr/>
            </w:pPr>
            <w:r>
              <w:rPr/>
              <w:t>Consumer Products</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581" w:type="dxa"/>
            <w:tcBorders/>
            <w:shd w:fill="CCEEFF" w:val="clear"/>
            <w:vAlign w:val="center"/>
          </w:tcPr>
          <w:p>
            <w:pPr>
              <w:pStyle w:val="TableContents"/>
              <w:bidi w:val="0"/>
              <w:spacing w:before="0" w:after="283"/>
              <w:jc w:val="right"/>
              <w:rPr/>
            </w:pPr>
            <w:r>
              <w:rPr/>
              <w:t>29</w:t>
            </w:r>
          </w:p>
        </w:tc>
        <w:tc>
          <w:tcPr>
            <w:tcW w:w="480" w:type="dxa"/>
            <w:tcBorders/>
            <w:shd w:fill="CCEEFF" w:val="clear"/>
            <w:vAlign w:val="center"/>
          </w:tcPr>
          <w:p>
            <w:pPr>
              <w:pStyle w:val="TableContents"/>
              <w:bidi w:val="0"/>
              <w:spacing w:before="0" w:after="283"/>
              <w:jc w:val="left"/>
              <w:rPr/>
            </w:pPr>
            <w:r>
              <w:rPr/>
              <w:t>%</w:t>
            </w:r>
          </w:p>
        </w:tc>
        <w:tc>
          <w:tcPr>
            <w:tcW w:w="134"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581" w:type="dxa"/>
            <w:tcBorders/>
            <w:shd w:fill="CCEEFF" w:val="clear"/>
            <w:vAlign w:val="center"/>
          </w:tcPr>
          <w:p>
            <w:pPr>
              <w:pStyle w:val="TableContents"/>
              <w:bidi w:val="0"/>
              <w:spacing w:before="0" w:after="283"/>
              <w:jc w:val="right"/>
              <w:rPr/>
            </w:pPr>
            <w:r>
              <w:rPr/>
              <w:t>32</w:t>
            </w:r>
          </w:p>
        </w:tc>
        <w:tc>
          <w:tcPr>
            <w:tcW w:w="230" w:type="dxa"/>
            <w:tcBorders/>
            <w:shd w:fill="CCEEFF" w:val="clear"/>
            <w:vAlign w:val="center"/>
          </w:tcPr>
          <w:p>
            <w:pPr>
              <w:pStyle w:val="TableContents"/>
              <w:bidi w:val="0"/>
              <w:spacing w:before="0" w:after="283"/>
              <w:jc w:val="left"/>
              <w:rPr/>
            </w:pPr>
            <w:r>
              <w:rPr/>
              <w:t>%</w:t>
            </w:r>
          </w:p>
        </w:tc>
      </w:tr>
      <w:tr>
        <w:trPr/>
        <w:tc>
          <w:tcPr>
            <w:tcW w:w="1220" w:type="dxa"/>
            <w:tcBorders/>
            <w:shd w:fill="FFFFFF" w:val="clear"/>
            <w:vAlign w:val="center"/>
          </w:tcPr>
          <w:p>
            <w:pPr>
              <w:pStyle w:val="TableContents"/>
              <w:bidi w:val="0"/>
              <w:spacing w:before="0" w:after="283"/>
              <w:jc w:val="center"/>
              <w:rPr/>
            </w:pPr>
            <w:r>
              <w:rPr/>
              <w:t>2</w:t>
            </w:r>
          </w:p>
        </w:tc>
        <w:tc>
          <w:tcPr>
            <w:tcW w:w="60" w:type="dxa"/>
            <w:tcBorders/>
            <w:shd w:fill="FFFFFF" w:val="clear"/>
            <w:vAlign w:val="center"/>
          </w:tcPr>
          <w:p>
            <w:pPr>
              <w:pStyle w:val="TableContents"/>
              <w:bidi w:val="0"/>
              <w:spacing w:before="0" w:after="283"/>
              <w:jc w:val="left"/>
              <w:rPr/>
            </w:pPr>
            <w:r>
              <w:rPr/>
              <w:t> </w:t>
            </w:r>
          </w:p>
        </w:tc>
        <w:tc>
          <w:tcPr>
            <w:tcW w:w="2450" w:type="dxa"/>
            <w:tcBorders/>
            <w:shd w:fill="FFFFFF" w:val="clear"/>
            <w:vAlign w:val="center"/>
          </w:tcPr>
          <w:p>
            <w:pPr>
              <w:pStyle w:val="TableContents"/>
              <w:bidi w:val="0"/>
              <w:spacing w:before="0" w:after="283"/>
              <w:jc w:val="left"/>
              <w:rPr/>
            </w:pPr>
            <w:r>
              <w:rPr/>
              <w:t>Consumer Products</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581" w:type="dxa"/>
            <w:tcBorders/>
            <w:shd w:fill="FFFFFF" w:val="clear"/>
            <w:vAlign w:val="center"/>
          </w:tcPr>
          <w:p>
            <w:pPr>
              <w:pStyle w:val="TableContents"/>
              <w:bidi w:val="0"/>
              <w:spacing w:before="0" w:after="283"/>
              <w:jc w:val="right"/>
              <w:rPr/>
            </w:pPr>
            <w:r>
              <w:rPr/>
              <w:t>16</w:t>
            </w:r>
          </w:p>
        </w:tc>
        <w:tc>
          <w:tcPr>
            <w:tcW w:w="480" w:type="dxa"/>
            <w:tcBorders/>
            <w:shd w:fill="FFFFFF" w:val="clear"/>
            <w:vAlign w:val="center"/>
          </w:tcPr>
          <w:p>
            <w:pPr>
              <w:pStyle w:val="TableContents"/>
              <w:bidi w:val="0"/>
              <w:spacing w:before="0" w:after="283"/>
              <w:jc w:val="left"/>
              <w:rPr/>
            </w:pPr>
            <w:r>
              <w:rPr/>
              <w:t>%</w:t>
            </w:r>
          </w:p>
        </w:tc>
        <w:tc>
          <w:tcPr>
            <w:tcW w:w="134"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581" w:type="dxa"/>
            <w:tcBorders/>
            <w:shd w:fill="FFFFFF" w:val="clear"/>
            <w:vAlign w:val="center"/>
          </w:tcPr>
          <w:p>
            <w:pPr>
              <w:pStyle w:val="TableContents"/>
              <w:bidi w:val="0"/>
              <w:spacing w:before="0" w:after="283"/>
              <w:jc w:val="right"/>
              <w:rPr/>
            </w:pPr>
            <w:r>
              <w:rPr/>
              <w:t></w:t>
            </w:r>
          </w:p>
        </w:tc>
        <w:tc>
          <w:tcPr>
            <w:tcW w:w="230" w:type="dxa"/>
            <w:tcBorders/>
            <w:shd w:fill="FFFFFF" w:val="clear"/>
            <w:vAlign w:val="center"/>
          </w:tcPr>
          <w:p>
            <w:pPr>
              <w:pStyle w:val="TableContents"/>
              <w:bidi w:val="0"/>
              <w:spacing w:before="0" w:after="283"/>
              <w:jc w:val="left"/>
              <w:rPr/>
            </w:pPr>
            <w:r>
              <w:rPr/>
              <w:t>%</w:t>
            </w:r>
          </w:p>
        </w:tc>
      </w:tr>
      <w:tr>
        <w:trPr/>
        <w:tc>
          <w:tcPr>
            <w:tcW w:w="1220" w:type="dxa"/>
            <w:tcBorders/>
            <w:shd w:fill="CCEEFF" w:val="clear"/>
            <w:vAlign w:val="center"/>
          </w:tcPr>
          <w:p>
            <w:pPr>
              <w:pStyle w:val="TableContents"/>
              <w:bidi w:val="0"/>
              <w:spacing w:before="0" w:after="283"/>
              <w:jc w:val="center"/>
              <w:rPr/>
            </w:pPr>
            <w:r>
              <w:rPr/>
              <w:t>3</w:t>
            </w:r>
          </w:p>
        </w:tc>
        <w:tc>
          <w:tcPr>
            <w:tcW w:w="60" w:type="dxa"/>
            <w:tcBorders/>
            <w:shd w:fill="CCEEFF" w:val="clear"/>
            <w:vAlign w:val="center"/>
          </w:tcPr>
          <w:p>
            <w:pPr>
              <w:pStyle w:val="TableContents"/>
              <w:bidi w:val="0"/>
              <w:spacing w:before="0" w:after="283"/>
              <w:jc w:val="left"/>
              <w:rPr/>
            </w:pPr>
            <w:r>
              <w:rPr/>
              <w:t> </w:t>
            </w:r>
          </w:p>
        </w:tc>
        <w:tc>
          <w:tcPr>
            <w:tcW w:w="2450" w:type="dxa"/>
            <w:tcBorders/>
            <w:shd w:fill="CCEEFF" w:val="clear"/>
            <w:vAlign w:val="center"/>
          </w:tcPr>
          <w:p>
            <w:pPr>
              <w:pStyle w:val="TableContents"/>
              <w:bidi w:val="0"/>
              <w:spacing w:before="0" w:after="283"/>
              <w:jc w:val="left"/>
              <w:rPr/>
            </w:pPr>
            <w:r>
              <w:rPr/>
              <w:t>Personal Care Ingredients</w:t>
            </w:r>
          </w:p>
        </w:tc>
        <w:tc>
          <w:tcPr>
            <w:tcW w:w="60" w:type="dxa"/>
            <w:tcBorders/>
            <w:shd w:fill="CCEEFF" w:val="clear"/>
            <w:vAlign w:val="center"/>
          </w:tcPr>
          <w:p>
            <w:pPr>
              <w:pStyle w:val="TableContents"/>
              <w:bidi w:val="0"/>
              <w:spacing w:before="0" w:after="283"/>
              <w:jc w:val="left"/>
              <w:rPr/>
            </w:pPr>
            <w:r>
              <w:rPr/>
              <w:t> </w:t>
            </w:r>
          </w:p>
        </w:tc>
        <w:tc>
          <w:tcPr>
            <w:tcW w:w="13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81" w:type="dxa"/>
            <w:tcBorders>
              <w:bottom w:val="single" w:sz="8" w:space="0" w:color="000000"/>
            </w:tcBorders>
            <w:shd w:fill="CCEEFF" w:val="clear"/>
            <w:tcMar>
              <w:bottom w:w="28" w:type="dxa"/>
            </w:tcMar>
            <w:vAlign w:val="center"/>
          </w:tcPr>
          <w:p>
            <w:pPr>
              <w:pStyle w:val="TableContents"/>
              <w:bidi w:val="0"/>
              <w:spacing w:before="0" w:after="283"/>
              <w:jc w:val="right"/>
              <w:rPr/>
            </w:pPr>
            <w:r>
              <w:rPr/>
              <w:t>10</w:t>
            </w:r>
          </w:p>
        </w:tc>
        <w:tc>
          <w:tcPr>
            <w:tcW w:w="480" w:type="dxa"/>
            <w:tcBorders/>
            <w:shd w:fill="CCEEFF" w:val="clear"/>
            <w:vAlign w:val="center"/>
          </w:tcPr>
          <w:p>
            <w:pPr>
              <w:pStyle w:val="TableContents"/>
              <w:bidi w:val="0"/>
              <w:spacing w:before="0" w:after="283"/>
              <w:jc w:val="left"/>
              <w:rPr/>
            </w:pPr>
            <w:r>
              <w:rPr/>
              <w:t>%</w:t>
            </w:r>
          </w:p>
        </w:tc>
        <w:tc>
          <w:tcPr>
            <w:tcW w:w="134" w:type="dxa"/>
            <w:tcBorders/>
            <w:shd w:fill="CCEEFF" w:val="clear"/>
            <w:vAlign w:val="center"/>
          </w:tcPr>
          <w:p>
            <w:pPr>
              <w:pStyle w:val="TableContents"/>
              <w:bidi w:val="0"/>
              <w:spacing w:before="0" w:after="283"/>
              <w:jc w:val="left"/>
              <w:rPr/>
            </w:pPr>
            <w:r>
              <w:rPr/>
              <w:t> </w:t>
            </w:r>
          </w:p>
        </w:tc>
        <w:tc>
          <w:tcPr>
            <w:tcW w:w="13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81" w:type="dxa"/>
            <w:tcBorders>
              <w:bottom w:val="single" w:sz="8" w:space="0" w:color="000000"/>
            </w:tcBorders>
            <w:shd w:fill="CCEEFF" w:val="clear"/>
            <w:tcMar>
              <w:bottom w:w="28" w:type="dxa"/>
            </w:tcMar>
            <w:vAlign w:val="center"/>
          </w:tcPr>
          <w:p>
            <w:pPr>
              <w:pStyle w:val="TableContents"/>
              <w:bidi w:val="0"/>
              <w:spacing w:before="0" w:after="283"/>
              <w:jc w:val="right"/>
              <w:rPr/>
            </w:pPr>
            <w:r>
              <w:rPr/>
              <w:t>13</w:t>
            </w:r>
          </w:p>
        </w:tc>
        <w:tc>
          <w:tcPr>
            <w:tcW w:w="23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r>
      <w:tr>
        <w:trPr/>
        <w:tc>
          <w:tcPr>
            <w:tcW w:w="122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450"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13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581" w:type="dxa"/>
            <w:tcBorders>
              <w:bottom w:val="double" w:sz="6" w:space="0" w:color="000000"/>
            </w:tcBorders>
            <w:shd w:fill="FFFFFF" w:val="clear"/>
            <w:tcMar>
              <w:bottom w:w="28" w:type="dxa"/>
            </w:tcMar>
            <w:vAlign w:val="center"/>
          </w:tcPr>
          <w:p>
            <w:pPr>
              <w:pStyle w:val="TableContents"/>
              <w:bidi w:val="0"/>
              <w:spacing w:before="0" w:after="283"/>
              <w:jc w:val="right"/>
              <w:rPr/>
            </w:pPr>
            <w:r>
              <w:rPr/>
              <w:t>55</w:t>
            </w:r>
          </w:p>
        </w:tc>
        <w:tc>
          <w:tcPr>
            <w:tcW w:w="480" w:type="dxa"/>
            <w:tcBorders/>
            <w:shd w:fill="FFFFFF" w:val="clear"/>
            <w:vAlign w:val="center"/>
          </w:tcPr>
          <w:p>
            <w:pPr>
              <w:pStyle w:val="TableContents"/>
              <w:bidi w:val="0"/>
              <w:spacing w:before="0" w:after="283"/>
              <w:jc w:val="left"/>
              <w:rPr/>
            </w:pPr>
            <w:r>
              <w:rPr/>
              <w:t>%</w:t>
            </w:r>
          </w:p>
        </w:tc>
        <w:tc>
          <w:tcPr>
            <w:tcW w:w="134" w:type="dxa"/>
            <w:tcBorders/>
            <w:shd w:fill="FFFFFF" w:val="clear"/>
            <w:vAlign w:val="center"/>
          </w:tcPr>
          <w:p>
            <w:pPr>
              <w:pStyle w:val="TableContents"/>
              <w:bidi w:val="0"/>
              <w:spacing w:before="0" w:after="283"/>
              <w:jc w:val="left"/>
              <w:rPr/>
            </w:pPr>
            <w:r>
              <w:rPr/>
              <w:t> </w:t>
            </w:r>
          </w:p>
        </w:tc>
        <w:tc>
          <w:tcPr>
            <w:tcW w:w="13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581" w:type="dxa"/>
            <w:tcBorders>
              <w:bottom w:val="double" w:sz="6" w:space="0" w:color="000000"/>
            </w:tcBorders>
            <w:shd w:fill="FFFFFF" w:val="clear"/>
            <w:tcMar>
              <w:bottom w:w="28" w:type="dxa"/>
            </w:tcMar>
            <w:vAlign w:val="center"/>
          </w:tcPr>
          <w:p>
            <w:pPr>
              <w:pStyle w:val="TableContents"/>
              <w:bidi w:val="0"/>
              <w:spacing w:before="0" w:after="283"/>
              <w:jc w:val="right"/>
              <w:rPr/>
            </w:pPr>
            <w:r>
              <w:rPr/>
              <w:t>45</w:t>
            </w:r>
          </w:p>
        </w:tc>
        <w:tc>
          <w:tcPr>
            <w:tcW w:w="23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 generally includes costs associated with commercial production and customer development arrangements. Cost of revenue increased to $46,001 in 2025, compared to $36,159 in 2024. The increase in cost of revenue was primarily driven by higher materials and direct labor costs related to the increased sales volume. Also contributing to the higher cost of revenue was increased costs associated with quality and maintenance activities costs due to the increased sales volume. We expect to continue new materials development and dispersion technologies for personal care applications and for our formulated consumer products during 2026 and beyond, as part of our business model. At current revenue levels we have generated a positive gross margin, though margins can be impeded by the cyclicality of our demand, often leading to the Company not having enough revenue to efficiently absorb manufacturing overhead that is required to work with current customers and expected future customers. We believe that our current fixed manufacturing cost structure is sufficient to support higher levels of revenue volume. The extent to which margins grow, as a percentage of total revenue, will be dependent upon revenue mix, revenue volume, our ability to cut costs and pass commodity market-driven raw materials increases on to customers, and the speed and efficiency with which we are able to scale up production for our Solésence products. We expect that, as product revenue volume increases, our fixed manufacturing costs will be more efficiently absorbed, which should lead to increased margins as we grow. We expect to continue to focus on reducing controllable variable product manufacturing costs, with potential variability related to the commodity metals markets and cost and wage inflation but may or may not realize gross margin percentage growth through 2026 and beyond, dependent upon the factors discussed above.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 which includes all expenses relating to the technology and advanced engineering groups, primarily consists of costs associated with the development or acquisition of new finished product formulations for skin care, new product applications for our skin care ingredients, and the cost of enhancing our manufacturing processes. This includes legal fees related to intellectual property development, protection, and maintenance. As an example, we are currently focusing the bulk of our resources on developing new product formulations, and related new technologies, as we expand marketing and sales efforts relating to our Solésence products. This work has led to several new products and additional potential new products. Our efforts in research and development, cosmetic formulating, process engineering and advanced engineering groups are focused in three major areas: 1) application development for our products; 2) creating or obtaining additional core materials technologies and/or materials that have the capability to serve multiple skin health-related markets; and 3) continuing to improve our core technologies to improve manufacturing operations and reduce costs.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 increased to $4,090 in 2025, compared to $3,837 in 2024. In 2025 labor costs were higher than 2024 and legal and consulting costs were also higher in 2025 compared to 2024. We expect expenses for research and development to remain about the same or decrease slightly in 2026 depending on growth in our consumer products, and related technologies. This expense change will be dependent upon the success we have in developing new products, which adds significantly to outside testing fees to both enhance product development and comply with regulatory requirements.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general and administrative expense increased to $10,401 in 2025, compared to $7,219 in 2024. The net increase was largely attributed to an increase in legal costs and labor. We expect 2026 expenses in this area to be slightly lower due to controlling our administrative functions costs, including related staffing.  The extent to which this occurs will be dependent upon growth.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interest expense increased to $931 in 2025, compared to $670 in 2024, increased usage of the debt facilities and partially offset by lower interest rates than in 2024. The interest expense for 2025 and 2024 related to interest paid relating to our revolving lines of credit for working capital funding and term loans supporting some of our equipment.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Company-wide operations, we believe inflation has not had a material effect on our operations or financial position for 2025, although we have seen increases in our costs. We expect supplier price increases and wage and benefit inflation, both of which represent a significant component of our costs of operations, may have a material effect on our operations and financial position in 2026 and beyond. We will apply our best efforts to pass through cost increases to our customers. If we are unable to pass through any increases due to contractual limitations or conditions in our markets specifically, this could reduce margins and net income.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cash proceeds and use of cash for 2025 and 2024 were:</w:t>
      </w:r>
    </w:p>
    <w:p>
      <w:pPr>
        <w:pStyle w:val="TextBody"/>
        <w:bidi w:val="0"/>
        <w:spacing w:before="0" w:after="0"/>
        <w:ind w:left="0" w:right="0" w:firstLine="720"/>
        <w:jc w:val="both"/>
        <w:rPr>
          <w:caps w:val="false"/>
          <w:smallCaps w:val="false"/>
        </w:rPr>
      </w:pPr>
      <w:r>
        <w:rPr>
          <w:caps w:val="false"/>
          <w:smallCaps w:val="false"/>
        </w:rPr>
        <w:t> </w:t>
      </w:r>
    </w:p>
    <w:tbl>
      <w:tblPr>
        <w:tblW w:w="8008" w:type="dxa"/>
        <w:jc w:val="left"/>
        <w:tblInd w:w="0" w:type="dxa"/>
        <w:tblLayout w:type="fixed"/>
        <w:tblCellMar>
          <w:top w:w="0" w:type="dxa"/>
          <w:left w:w="0" w:type="dxa"/>
          <w:bottom w:w="0" w:type="dxa"/>
          <w:right w:w="0" w:type="dxa"/>
        </w:tblCellMar>
      </w:tblPr>
      <w:tblGrid>
        <w:gridCol w:w="4430"/>
        <w:gridCol w:w="60"/>
        <w:gridCol w:w="184"/>
        <w:gridCol w:w="1448"/>
        <w:gridCol w:w="125"/>
        <w:gridCol w:w="78"/>
        <w:gridCol w:w="184"/>
        <w:gridCol w:w="1389"/>
        <w:gridCol w:w="110"/>
      </w:tblGrid>
      <w:tr>
        <w:trPr/>
        <w:tc>
          <w:tcPr>
            <w:tcW w:w="443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340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For the year ended December 31,</w:t>
            </w:r>
          </w:p>
        </w:tc>
        <w:tc>
          <w:tcPr>
            <w:tcW w:w="110" w:type="dxa"/>
            <w:tcBorders/>
            <w:vAlign w:val="center"/>
          </w:tcPr>
          <w:p>
            <w:pPr>
              <w:pStyle w:val="TableContents"/>
              <w:bidi w:val="0"/>
              <w:spacing w:before="0" w:after="283"/>
              <w:jc w:val="left"/>
              <w:rPr/>
            </w:pPr>
            <w:r>
              <w:rPr/>
              <w:t> </w:t>
            </w:r>
          </w:p>
        </w:tc>
      </w:tr>
      <w:tr>
        <w:trPr/>
        <w:tc>
          <w:tcPr>
            <w:tcW w:w="443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63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57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4430" w:type="dxa"/>
            <w:tcBorders/>
            <w:shd w:fill="CCEEFF" w:val="clear"/>
            <w:vAlign w:val="center"/>
          </w:tcPr>
          <w:p>
            <w:pPr>
              <w:pStyle w:val="TableContents"/>
              <w:bidi w:val="0"/>
              <w:spacing w:before="0" w:after="283"/>
              <w:jc w:val="both"/>
              <w:rPr/>
            </w:pPr>
            <w:r>
              <w:rPr/>
              <w:t>Total cash</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w:t>
            </w:r>
          </w:p>
        </w:tc>
        <w:tc>
          <w:tcPr>
            <w:tcW w:w="1448" w:type="dxa"/>
            <w:tcBorders/>
            <w:shd w:fill="CCEEFF" w:val="clear"/>
            <w:vAlign w:val="center"/>
          </w:tcPr>
          <w:p>
            <w:pPr>
              <w:pStyle w:val="TableContents"/>
              <w:bidi w:val="0"/>
              <w:spacing w:before="0" w:after="283"/>
              <w:jc w:val="right"/>
              <w:rPr/>
            </w:pPr>
            <w:r>
              <w:rPr/>
              <w:t>1,288,000</w:t>
            </w:r>
          </w:p>
        </w:tc>
        <w:tc>
          <w:tcPr>
            <w:tcW w:w="125"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w:t>
            </w:r>
          </w:p>
        </w:tc>
        <w:tc>
          <w:tcPr>
            <w:tcW w:w="1389" w:type="dxa"/>
            <w:tcBorders/>
            <w:shd w:fill="CCEEFF" w:val="clear"/>
            <w:vAlign w:val="center"/>
          </w:tcPr>
          <w:p>
            <w:pPr>
              <w:pStyle w:val="TableContents"/>
              <w:bidi w:val="0"/>
              <w:spacing w:before="0" w:after="283"/>
              <w:jc w:val="right"/>
              <w:rPr/>
            </w:pPr>
            <w:r>
              <w:rPr/>
              <w:t>1,409,000</w:t>
            </w:r>
          </w:p>
        </w:tc>
        <w:tc>
          <w:tcPr>
            <w:tcW w:w="110" w:type="dxa"/>
            <w:tcBorders/>
            <w:shd w:fill="CCEEFF" w:val="clear"/>
            <w:vAlign w:val="center"/>
          </w:tcPr>
          <w:p>
            <w:pPr>
              <w:pStyle w:val="TableContents"/>
              <w:bidi w:val="0"/>
              <w:spacing w:before="0" w:after="283"/>
              <w:jc w:val="left"/>
              <w:rPr/>
            </w:pPr>
            <w:r>
              <w:rPr/>
              <w:t> </w:t>
            </w:r>
          </w:p>
        </w:tc>
      </w:tr>
      <w:tr>
        <w:trPr/>
        <w:tc>
          <w:tcPr>
            <w:tcW w:w="4430" w:type="dxa"/>
            <w:tcBorders/>
            <w:shd w:fill="FFFFFF" w:val="clear"/>
            <w:vAlign w:val="center"/>
          </w:tcPr>
          <w:p>
            <w:pPr>
              <w:pStyle w:val="TableContents"/>
              <w:bidi w:val="0"/>
              <w:spacing w:before="0" w:after="283"/>
              <w:jc w:val="both"/>
              <w:rPr/>
            </w:pPr>
            <w:r>
              <w:rPr/>
              <w:t>Cash (used in) provided by operating activities</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448" w:type="dxa"/>
            <w:tcBorders/>
            <w:shd w:fill="FFFFFF" w:val="clear"/>
            <w:vAlign w:val="center"/>
          </w:tcPr>
          <w:p>
            <w:pPr>
              <w:pStyle w:val="TableContents"/>
              <w:bidi w:val="0"/>
              <w:spacing w:before="0" w:after="283"/>
              <w:jc w:val="right"/>
              <w:rPr/>
            </w:pPr>
            <w:r>
              <w:rPr/>
              <w:t>(8,567,000</w:t>
            </w:r>
          </w:p>
        </w:tc>
        <w:tc>
          <w:tcPr>
            <w:tcW w:w="125" w:type="dxa"/>
            <w:tcBorders/>
            <w:shd w:fill="FFFFFF" w:val="clear"/>
            <w:vAlign w:val="center"/>
          </w:tcPr>
          <w:p>
            <w:pPr>
              <w:pStyle w:val="TableContents"/>
              <w:bidi w:val="0"/>
              <w:spacing w:before="0" w:after="283"/>
              <w:jc w:val="left"/>
              <w:rPr/>
            </w:pPr>
            <w:r>
              <w:rPr/>
              <w:t>)</w:t>
            </w:r>
          </w:p>
        </w:tc>
        <w:tc>
          <w:tcPr>
            <w:tcW w:w="78"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1,971,000</w:t>
            </w:r>
          </w:p>
        </w:tc>
        <w:tc>
          <w:tcPr>
            <w:tcW w:w="110" w:type="dxa"/>
            <w:tcBorders/>
            <w:shd w:fill="FFFFFF" w:val="clear"/>
            <w:vAlign w:val="center"/>
          </w:tcPr>
          <w:p>
            <w:pPr>
              <w:pStyle w:val="TableContents"/>
              <w:bidi w:val="0"/>
              <w:spacing w:before="0" w:after="283"/>
              <w:jc w:val="left"/>
              <w:rPr/>
            </w:pPr>
            <w:r>
              <w:rPr/>
              <w:t> </w:t>
            </w:r>
          </w:p>
        </w:tc>
      </w:tr>
      <w:tr>
        <w:trPr/>
        <w:tc>
          <w:tcPr>
            <w:tcW w:w="4430" w:type="dxa"/>
            <w:tcBorders/>
            <w:shd w:fill="CCEEFF" w:val="clear"/>
            <w:vAlign w:val="center"/>
          </w:tcPr>
          <w:p>
            <w:pPr>
              <w:pStyle w:val="TableContents"/>
              <w:bidi w:val="0"/>
              <w:spacing w:before="0" w:after="283"/>
              <w:jc w:val="both"/>
              <w:rPr/>
            </w:pPr>
            <w:r>
              <w:rPr/>
              <w:t>Net cash used in investing activities</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448" w:type="dxa"/>
            <w:tcBorders/>
            <w:shd w:fill="CCEEFF" w:val="clear"/>
            <w:vAlign w:val="center"/>
          </w:tcPr>
          <w:p>
            <w:pPr>
              <w:pStyle w:val="TableContents"/>
              <w:bidi w:val="0"/>
              <w:spacing w:before="0" w:after="283"/>
              <w:jc w:val="right"/>
              <w:rPr/>
            </w:pPr>
            <w:r>
              <w:rPr/>
              <w:t>(2,143,000</w:t>
            </w:r>
          </w:p>
        </w:tc>
        <w:tc>
          <w:tcPr>
            <w:tcW w:w="125" w:type="dxa"/>
            <w:tcBorders/>
            <w:shd w:fill="CCEEFF" w:val="clear"/>
            <w:vAlign w:val="center"/>
          </w:tcPr>
          <w:p>
            <w:pPr>
              <w:pStyle w:val="TableContents"/>
              <w:bidi w:val="0"/>
              <w:spacing w:before="0" w:after="283"/>
              <w:jc w:val="left"/>
              <w:rPr/>
            </w:pPr>
            <w:r>
              <w:rPr/>
              <w:t>)</w:t>
            </w:r>
          </w:p>
        </w:tc>
        <w:tc>
          <w:tcPr>
            <w:tcW w:w="78"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pPr>
            <w:r>
              <w:rPr/>
              <w:t>(4,558,000</w:t>
            </w:r>
          </w:p>
        </w:tc>
        <w:tc>
          <w:tcPr>
            <w:tcW w:w="110" w:type="dxa"/>
            <w:tcBorders/>
            <w:shd w:fill="CCEEFF" w:val="clear"/>
            <w:vAlign w:val="center"/>
          </w:tcPr>
          <w:p>
            <w:pPr>
              <w:pStyle w:val="TableContents"/>
              <w:bidi w:val="0"/>
              <w:spacing w:before="0" w:after="283"/>
              <w:jc w:val="left"/>
              <w:rPr/>
            </w:pPr>
            <w:r>
              <w:rPr/>
              <w:t>)</w:t>
            </w:r>
          </w:p>
        </w:tc>
      </w:tr>
      <w:tr>
        <w:trPr/>
        <w:tc>
          <w:tcPr>
            <w:tcW w:w="4430" w:type="dxa"/>
            <w:tcBorders/>
            <w:shd w:fill="FFFFFF" w:val="clear"/>
            <w:vAlign w:val="center"/>
          </w:tcPr>
          <w:p>
            <w:pPr>
              <w:pStyle w:val="TableContents"/>
              <w:bidi w:val="0"/>
              <w:spacing w:before="0" w:after="283"/>
              <w:jc w:val="both"/>
              <w:rPr/>
            </w:pPr>
            <w:r>
              <w:rPr/>
              <w:t>Net cash provided by financing activities</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448" w:type="dxa"/>
            <w:tcBorders/>
            <w:shd w:fill="FFFFFF" w:val="clear"/>
            <w:vAlign w:val="center"/>
          </w:tcPr>
          <w:p>
            <w:pPr>
              <w:pStyle w:val="TableContents"/>
              <w:bidi w:val="0"/>
              <w:spacing w:before="0" w:after="283"/>
              <w:jc w:val="right"/>
              <w:rPr/>
            </w:pPr>
            <w:r>
              <w:rPr/>
              <w:t>10,589,000</w:t>
            </w:r>
          </w:p>
        </w:tc>
        <w:tc>
          <w:tcPr>
            <w:tcW w:w="125"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2,274,000</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approximate $10,538,000 year-over-year increase in cash used in operating activities for the year ended December 31, 2025 was mainly due to the Company earning $1,790,000 in net income in 2025 compared to $4,235, payments made to reduce accounts payable and accrued expenses, and performance of deferred revenue obligations. Cash capital expenditures amounted to approximately $2,525,000 and $4,558,000 for the years ended December 31, 2025 and 2024, respectively. We did not dispose of or sell any assets during 2025 or 2024.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maintains a credit agreement with Libertyville Bank &amp; Trust to support our obligations under our leased manufacturing and warehouse space in Bolingbrook, Illinois. As of December 31, 2025 there was no outstanding borrowings on this line of credit. This credit agreement has a maturity of December 22, 2026, and the Company plans on renewing on a yearly basis.</w:t>
      </w:r>
    </w:p>
    <w:p>
      <w:pPr>
        <w:pStyle w:val="TextBody"/>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28, 2022, to support the working capital demands created by the commercial growth of the Company and its wholly owned subsidiary, Solésence, LLC, the Company entered into (i) an Amended and Restated Business Loan Agreement (the “A&amp;R Loan Agreement”), with Beachcorp, LLC, (ii) a Business Loan Agreement (the “New Term Loan Agreement”) with Strandler, LLC, (iii) a Business Loan Agreement (the “New Revolving Loan Agreement” and together with the A&amp;R Loan Agreement and the New Term Loan Agreement, the “Loan Agreements”) with Beachcorp, LLC, and (iv) three promissory notes in order to evidence the loans pursuant to the Loan Agreements (the “Notes”). Beachcorp, LLC and Strandler, LLC are affiliates of Mr. Bradford T. Whitmore, who beneficially owns a majority of the Company’s common stock and is the brother of Ms. R. Janet Whitmore, a director of the Company and the chair of the Company’s board of directors.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Loan Agreements changed the terms of both the Company’s asset-based revolving loan facility (the “A/R Revolver Facility”) and the secured advance (the “Term Loan”, which was assigned from Beachcorp, LLC to Strandler, LLC) under the Master Agreement and provide a new asset-based revolving loan facility based on inventory (the “Inventory Facility”). The maximum borrowing amount under the A/R Revolver Facility increased from $6,000,000 to $8,000,000, with a borrowing base consisting of qualified accounts receivable of the Company. The maximum borrowing amount under the Inventory Facility was $4,000,000, with a borrowing base consisting of up to 50% of the value of qualified inventory of the Company. The Loan Agreements also extended the date for which all principal and accrued interest under the A&amp;R Revolver Facility and the Term Loan are due from March 31, 2023 and March 31, 2022, respectively, to March 31, 2024, which was also the maturity date for the Inventory Facility. The Loan Agreements reduce interest on outstanding borrowings under the A/R Revolver Facility and the Term Loan from the prime rate plus 2% and 5.25% per year, to a floating rate equal to the prime rate plus 0.75%, which is also the interest rate for borrowings under the Inventory Facility. The amount of the Term Loan remains $1,000,000. The A/R Revolver Facility, the Inventory Facility and the Term Loan are all secured by all the unencumbered assets of the Company and subordinated to the Company’s revolving line of credit with Libertyville Bank &amp; Trust. </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w:t>
      </w:r>
    </w:p>
    <w:p>
      <w:pPr>
        <w:pStyle w:val="TextBody"/>
        <w:bidi w:val="0"/>
        <w:spacing w:before="0" w:after="0"/>
        <w:ind w:left="0" w:right="0" w:hanging="0"/>
        <w:jc w:val="left"/>
        <w:rPr/>
      </w:pPr>
      <w:r>
        <w:rPr/>
        <w:t> </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13, 2023 to support working capital demands the Company entered into (i) a new Promissory Note (“Bridge Note”) with Strandler, LLC, with a maximum borrowing amount of $2,000,000, interest rate at the prime rate plus 0.75%, and set to mature on May 13, 2024, and (ii) amendments to the Loan Agreements increasing the principal amount of the Inventory Facility to $5,200,000, increased the borrowing base to 55% of eligible inventory, up from 50% and extending the maturity date under the Loan Agreement to March 31, 2025. The Bridge Note was repaid in full in connection with the Purchase Agreement referred to below.</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 2024, the Company entered into a Securities Purchase Agreement (the “Purchase Agreement”), between the Company and Strandler, LLC (“Strandler”).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Purchase Agreement, the Company issued to Strandler 15,000 shares of the Company’s Series X Preferred Stock (the “Series X Preferred Stock”) at a purchase price per share of $400, for total consideration of $6,000,000, in a transaction exempt from registration under the Securities Act of 1933, as amended, pursuant to Section 4(a)(2) thereof. The terms of the Preferred Stock are set forth in the Company’s Certificate of Designations to its Certificate of Incorporation, filed with the Secretary of State of the State of Delaware on March 4, 2024 (the “Certificate of Designations”).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Purchase Agreement, the Company granted Strandler customary registration rights with respect to shares of the Company’s common stock, par value $0.01 per share (the “Common Stock”), it may receive in connection with any conversion of Series X Preferred Stock into Common Stock, as described below. For so long as any amount of Preferred Stock is outstanding, the Purchase Agreement also (i) prevented the Company from paying any dividend on any shares of the Company’s capital stock (other than dividends consisting solely of Common Stock or rights to purchase Common Stock), (ii) prevented the Company from repurchasing any Common Stock, and (iii) subject to certain permitted exceptions, restricted the Company’s ability to permit any lien or other encumbrance on Company assets.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and from time to time, in whole or in part, following the Company properly filing an amendment (the “Certificate Amendment”) to its Certificate of Incorporation to increase the number of authorized shares of its Common Stock from 60,000,000 to 95,000,000, each share of Series X Preferred Stock was convertible, at the option of the holder, into 1,000 shares of Common Stock at no additional cost. If the Company had not properly filed, upon shareholder approval, the Certificate Amendment on or before August 1, 2024, then each share of Series X Preferred Stock would have been redeemable at the holder’s option, in whole or in part, without penalty or premium, at a redemption price equal to $420 per share (each, a “Redemption”). If the Company had failed to fully pay any Redemption within five days of receiving notice, all unpaid amounts will have born interest at a rate of 10% per annum. In addition, in the event of a Change in Control (as defined in the Certificate of Designations) of the Company, each share of the Series X Preferred Stock would have been redeemable at the option of the holder, without penalty or premium, at a redemption price equal to $420 per share. Upon any conversion of Preferred Stock into Common Stock by Strandler, Strandler is required to hold the Common Stock received in the conversion for a period of 12 months.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Series X Preferred Stock (i) were not entitled to receive dividends, subject to customary anti-dilution protections, (ii) have no voting rights, and (iii)receive a liquidation preference of $400 per share. The Series X Preferred Stock ranks senior in right of payment to all securities designated as junior securities, including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18, 2024, the Company held a special meeting of stockholders where the Certificate Amendment was approved. The Certificate Amendment was filed with the State of Delaware on June 19, 2024. On June 20, 2024, Strandler converted its 15,000 shares of Series X Preferred Stock to 15,000,000 shares of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Company’s entry into the Purchase Agreement, the Company also entered into (i) a Second Amendment to Business Loan Agreement (the “Term Loan Agreement Amendment”) with Strandler, LLC, (ii) a Second Amendment to Business Loan Agreement (the “A&amp;R Loan Agreement Amendment”) with Beachcorp, LLC, which is also an affiliate of our controlling shareholder, Bradford T. Whitmore (“Beachcorp”), and (iii) a Second Amendment to Business Loan Agreement with Beachcorp (the “Revolving Loan Agreement Amendment” and together with the Term Loan Agreement Amendment and the A&amp;R Term Loan Agreement Amendment, the “Loan Agreement Amendments”). The Loan Agreement Amendments extend the maturity date under each respective loan agreement from March 31, 2025 to October 1, 2025.</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27, 2025, the Company entered into a Third Amendment to the A&amp;R Loan Agreement, Business Loan Agreement, and New Term Loan Agreement extending the maturity of the loans to April 30, 2027, to expand the limit on the A&amp;R Loan Agreement from $8,000,000 to $12,000,000 and to expand the limit on the Business Loan Agreement from $5,200,000 to $10,000,000.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31, 2025, the balance on the Term Loan was $1,000,000, the balance on the A/R Revolver Facility was $4,767,397, the balance on the Inventory Facility was $9,500,000. On December 31, 2024, the balance on the Term Loan was $1,000,000, the balance on the A/R Revolver Facility was $0, and the balance on the Inventory Facility was $4,000,000.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regarding the New Business Loan Agreements, see Note 3 to our Financial Statements referred to in Part II, Item 8 of this Annual Report on Form 10-K.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actual future capital requirements in 2026 and beyond will depend on many factors, including customer acceptance of our current and potential consumer </w:t>
      </w:r>
      <w:r>
        <w:rPr>
          <w:rFonts w:ascii="Times New Roman;Times;Serif" w:hAnsi="Times New Roman;Times;Serif"/>
          <w:b w:val="false"/>
          <w:i w:val="false"/>
          <w:caps w:val="false"/>
          <w:smallCaps w:val="false"/>
          <w:position w:val="7"/>
          <w:sz w:val="16"/>
          <w:sz w:val="20"/>
        </w:rPr>
        <w:t> </w:t>
      </w:r>
      <w:r>
        <w:rPr>
          <w:rFonts w:ascii="Times New Roman;Times;Serif" w:hAnsi="Times New Roman;Times;Serif"/>
          <w:b w:val="false"/>
          <w:i w:val="false"/>
          <w:caps w:val="false"/>
          <w:smallCaps w:val="false"/>
          <w:sz w:val="20"/>
        </w:rPr>
        <w:t>products, APIs sold as ingredients in to the skin health markets, medical diagnostics ingredients, and other engineered materials, applications, and products, continued progress in research and development activities and product testing programs, the magnitude of these activities and programs, and the costs necessary to increase and expand our manufacturing capabilities and to market and sell these products and ingredients. Other important issues that will drive future capital requirements will be the development of new markets and new customers as well as the potential for significant unplanned growth with existing customers. Depending on the success of certain projects, we expect that capital spending relating to currently known capital needs for 2026 will be between $1 million and $3 million, to be funded by profit from operations, our existing loans and lines of credit, and possible new financing. If those projects are delayed or ultimately prove unsuccessful, or if we fail to be able to support the additional cost of funding them in the near term, we expect our capital expenditures may fall below the lower end of the range. Similarly, substantial success in business development projects may cause the actual 2026 capital investment to exceed the top of this range.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federal net operating loss carryforwards for tax purposes of approximately $36.9 million on December 31, 2025. Because the Company may experience “ownership changes” within the meaning of the U.S. Internal Revenue Code (“IRC”) in connection with any future equity offerings, future utilization of this carryforward may be subject to certain limitations as defined by the IRC. If not utilized, $30.7 million of this loss carryforward will expire between 2026 and 2038. Given changes to the IRC, net operating loss carryforwards generated after January 1, 2018 do not expire, therefore, $6.2 million in net operating losses generated since January 1, 2018 do not expire. We have Illinois net loss deduction carryforwards for tax purposes of approximately $20 million on December 31, 2025. Due to the provisions of Illinois Public Act 102-0669 signed November 16, 2021, Illinois net loss deductions expire between 2029 and 2039.</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annual limitation and uncertainty as to the amount of future taxable income that will be earned prior to the expiration of the carryforward, we have concluded that it is likely that some portion of this carryforward will expire before ultimately becoming available to reduce income tax liabilities.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bookmarkStart w:id="68" w:name="solesence10ka031"/>
      <w:bookmarkEnd w:id="68"/>
      <w:r>
        <w:rPr>
          <w:rFonts w:ascii="Times New Roman;Times;Serif" w:hAnsi="Times New Roman;Times;Serif"/>
          <w:b/>
          <w:i w:val="false"/>
          <w:caps w:val="false"/>
          <w:smallCaps w:val="false"/>
          <w:sz w:val="20"/>
        </w:rPr>
        <w:t>Item 7A. Quantitative and Qualitative Disclosures About Market Risk</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required for a smaller reporting company.</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bookmarkStart w:id="69" w:name="solesence10ka032"/>
      <w:bookmarkEnd w:id="69"/>
      <w:r>
        <w:rPr>
          <w:rFonts w:ascii="Times New Roman;Times;Serif" w:hAnsi="Times New Roman;Times;Serif"/>
          <w:b/>
          <w:i w:val="false"/>
          <w:caps w:val="false"/>
          <w:smallCaps w:val="false"/>
          <w:sz w:val="20"/>
        </w:rPr>
        <w:t>Item 8. Financial Statements and Supplementary Data</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with the report of independent auditors, listed in Item 15 appear on pages F-1 through F-21 of this Form 10-K.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bookmarkStart w:id="70" w:name="solesence10ka033"/>
      <w:bookmarkEnd w:id="70"/>
      <w:r>
        <w:rPr>
          <w:rFonts w:ascii="Times New Roman;Times;Serif" w:hAnsi="Times New Roman;Times;Serif"/>
          <w:b/>
          <w:i w:val="false"/>
          <w:caps w:val="false"/>
          <w:smallCaps w:val="false"/>
          <w:sz w:val="20"/>
        </w:rPr>
        <w:t>Item 9. Changes in and Disagreements with Accountants on Accounting and Financial Disclosure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bookmarkStart w:id="71" w:name="solesence10ka034"/>
      <w:bookmarkEnd w:id="71"/>
      <w:r>
        <w:rPr>
          <w:rFonts w:ascii="Times New Roman;Times;Serif" w:hAnsi="Times New Roman;Times;Serif"/>
          <w:b/>
          <w:i w:val="false"/>
          <w:caps w:val="false"/>
          <w:smallCaps w:val="false"/>
          <w:sz w:val="20"/>
        </w:rPr>
        <w:t>Item 9A. Controls and Procedures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Evaluation of Disclosure Controls and Procedures</w:t>
      </w:r>
      <w:r>
        <w:rPr>
          <w:rFonts w:ascii="Times New Roman;Times;Serif" w:hAnsi="Times New Roman;Times;Serif"/>
          <w:b w:val="false"/>
          <w:i w:val="false"/>
          <w:caps w:val="false"/>
          <w:smallCaps w:val="false"/>
          <w:sz w:val="20"/>
        </w:rPr>
        <w:t>. We are responsible for establishing and maintaining disclosure controls and procedures that are designed to ensure that information required to be disclosed by us in the reports filed by us under the Exchange Act is: (a) recorded, processed, summarized and reported within the time periods specified in the SEC’s rules and forms; and (b) accumulated and communicated to our management, including our principal executive and principal financial officers, to allow timely decisions regarding required disclosures. It should be noted that in designing and evaluating our disclosure controls and procedures, we recognize that any controls and procedures, no matter how well designed and operated, can provide only reasonable assurance of achieving the desired control objectives, and that our management necessarily was required to apply its judgment regarding the design of our disclosure controls and procedures. As of the end of the period covered by this report, we conducted an evaluation, under the supervision (and with the participation) of our management, including our Chief Executive Officer (our principal executive officer) and our Chief Financial Officer (our principal financial officer), of the effectiveness of the design and operation of our disclosure controls and procedures pursuant to Rules 13a-15(e) and 15d-15(e) of the Exchange Act. Based on that evaluation, our Chief Executive Officer and Chief Financial Officer, concluded that our disclosure controls and procedures were effective at reaching that level of reasonable assurance.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Management’s Annual Report on Internal Control Over Financial Reporting</w:t>
      </w:r>
      <w:r>
        <w:rPr>
          <w:rFonts w:ascii="Times New Roman;Times;Serif" w:hAnsi="Times New Roman;Times;Serif"/>
          <w:b w:val="false"/>
          <w:i w:val="false"/>
          <w:caps w:val="false"/>
          <w:smallCaps w:val="false"/>
          <w:sz w:val="20"/>
        </w:rPr>
        <w:t>. Management is responsible for the preparation, integrity and fair presentation of the financial statements and Notes to the financial statements. Management is also responsible for establishing and maintaining adequate internal control over financial reporting as defined in Rules 13a-15(f) and 15d-15(f) under the Securities Exchange Act of 1934. The Company’s internal control over financial reporting is designed under the supervision of the Company’s principal executive officer and principal financial officer in order to provide reasonable assurance regarding the reliability of financial reporting and the preparation of financial statements for external purposes in accordance with generally accepted accounting principles. The Company’s internal control over financial reporting includes those policies and procedures that:</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0"/>
        <w:gridCol w:w="991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9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Pertain to the maintenance of records that, in reasonable detail, accurately and fairly reflect the transactions and dispositions of assets of the Company;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tc>
      </w:tr>
    </w:tbl>
    <w:tbl>
      <w:tblPr>
        <w:tblW w:w="10205" w:type="dxa"/>
        <w:jc w:val="left"/>
        <w:tblInd w:w="0" w:type="dxa"/>
        <w:tblLayout w:type="fixed"/>
        <w:tblCellMar>
          <w:top w:w="0" w:type="dxa"/>
          <w:left w:w="0" w:type="dxa"/>
          <w:bottom w:w="0" w:type="dxa"/>
          <w:right w:w="0" w:type="dxa"/>
        </w:tblCellMar>
      </w:tblPr>
      <w:tblGrid>
        <w:gridCol w:w="75"/>
        <w:gridCol w:w="294"/>
        <w:gridCol w:w="9836"/>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reasonable assurance regarding prevention or timely detection of unauthorized acquisition, use or disposition of the Company’s assets that could have a material effect on the financial statements.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assessed the effectiveness of the Company’s internal control over financial reporting as of December 31, 2025. In making this assessment, management used the criteria established in Internal Control–Integrated Framework (2013) issued by the Committee of Sponsoring Organizations of the Treadway Commission (“COSO”).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our assessment and those criteria, our management, including our Chief Executive Officer (our principal executive officer) and our Chief Financial Officer (our principal financial officer), believe that the Company maintained effective internal control over financial reporting as of December 31,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Changes in Internal Control over Financial Reporting</w:t>
      </w:r>
      <w:r>
        <w:rPr>
          <w:rFonts w:ascii="Times New Roman;Times;Serif" w:hAnsi="Times New Roman;Times;Serif"/>
          <w:b w:val="false"/>
          <w:i w:val="false"/>
          <w:caps w:val="false"/>
          <w:smallCaps w:val="false"/>
          <w:sz w:val="20"/>
        </w:rPr>
        <w:t>. The Company’s management, including the Chief Executive Officer (our principal executive officer) and Chief Financial Officer (our principal financial officer), confirm that there was no change in the Company’s internal control over financial reporting during the quarter ended December 31, 2025 that has materially affected, or is reasonably likely to materially affect, the Company’s internal control over financial reporting.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annual report does not include an attestation report of the Company’s registered public accounting firm regarding internal control over financial reporting. Management’s report was not subject to attestation by the Company’s registered public accounting firm pursuant to the rules of the Securities and Exchange Commission that permit the Company to provide only management’s report in this Form 10-K.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bookmarkStart w:id="72" w:name="solesence10ka035"/>
      <w:bookmarkEnd w:id="72"/>
      <w:r>
        <w:rPr>
          <w:rFonts w:ascii="Times New Roman;Times;Serif" w:hAnsi="Times New Roman;Times;Serif"/>
          <w:b/>
          <w:i w:val="false"/>
          <w:caps w:val="false"/>
          <w:smallCaps w:val="false"/>
          <w:sz w:val="20"/>
        </w:rPr>
        <w:t>Item 9B. Other Information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bookmarkStart w:id="73" w:name="xdx_900_ecustom--NoInsiderTradingFlag_db"/>
      <w:bookmarkEnd w:id="73"/>
      <w:r>
        <w:rPr>
          <w:rFonts w:ascii="Times New Roman;Times;Serif" w:hAnsi="Times New Roman;Times;Serif"/>
          <w:b w:val="false"/>
          <w:i w:val="false"/>
          <w:caps w:val="false"/>
          <w:smallCaps w:val="false"/>
          <w:sz w:val="20"/>
        </w:rPr>
        <w:t>None.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9C. </w:t>
      </w:r>
      <w:bookmarkStart w:id="74" w:name="solesence10ka036"/>
      <w:bookmarkEnd w:id="74"/>
      <w:r>
        <w:rPr>
          <w:rFonts w:ascii="Times New Roman;Times;Serif" w:hAnsi="Times New Roman;Times;Serif"/>
          <w:b/>
          <w:i w:val="false"/>
          <w:caps w:val="false"/>
          <w:smallCaps w:val="false"/>
          <w:sz w:val="20"/>
          <w:shd w:fill="FFFFFF" w:val="clear"/>
        </w:rPr>
        <w:t>Disclosure Regarding Foreign Jurisdictions that Prevent Inspections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75" w:name="solesence10ka037"/>
      <w:bookmarkEnd w:id="75"/>
      <w:r>
        <w:rPr>
          <w:rFonts w:ascii="Times New Roman;Times;Serif" w:hAnsi="Times New Roman;Times;Serif"/>
          <w:b/>
          <w:i w:val="false"/>
          <w:caps w:val="false"/>
          <w:smallCaps w:val="false"/>
          <w:sz w:val="20"/>
        </w:rPr>
        <w:t>PART III</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bookmarkStart w:id="76" w:name="solesence10ka038"/>
      <w:bookmarkEnd w:id="76"/>
      <w:r>
        <w:rPr>
          <w:rFonts w:ascii="Times New Roman;Times;Serif" w:hAnsi="Times New Roman;Times;Serif"/>
          <w:b/>
          <w:i w:val="false"/>
          <w:caps w:val="false"/>
          <w:smallCaps w:val="false"/>
          <w:sz w:val="20"/>
        </w:rPr>
        <w:t>Item 10. Directors, Executive Officers and Corporate Governance</w:t>
      </w:r>
      <w:r>
        <w:rPr>
          <w:rFonts w:ascii="Times New Roman;Times;Serif" w:hAnsi="Times New Roman;Times;Serif"/>
          <w:b w:val="false"/>
          <w:i w:val="false"/>
          <w:caps w:val="false"/>
          <w:smallCaps w:val="false"/>
          <w:sz w:val="2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 forth below is certain information regarding the directors of the Company.</w:t>
      </w:r>
    </w:p>
    <w:p>
      <w:pPr>
        <w:pStyle w:val="TextBody"/>
        <w:bidi w:val="0"/>
        <w:spacing w:before="0" w:after="0"/>
        <w:ind w:left="0" w:right="0" w:firstLine="720"/>
        <w:jc w:val="both"/>
        <w:rPr>
          <w:caps w:val="false"/>
          <w:smallCaps w:val="false"/>
        </w:rPr>
      </w:pPr>
      <w:r>
        <w:rPr>
          <w:caps w:val="false"/>
          <w:smallCaps w:val="false"/>
        </w:rPr>
        <w:t> </w:t>
      </w:r>
    </w:p>
    <w:tbl>
      <w:tblPr>
        <w:tblW w:w="8940" w:type="dxa"/>
        <w:jc w:val="left"/>
        <w:tblInd w:w="0" w:type="dxa"/>
        <w:tblLayout w:type="fixed"/>
        <w:tblCellMar>
          <w:top w:w="0" w:type="dxa"/>
          <w:left w:w="0" w:type="dxa"/>
          <w:bottom w:w="28" w:type="dxa"/>
          <w:right w:w="0" w:type="dxa"/>
        </w:tblCellMar>
      </w:tblPr>
      <w:tblGrid>
        <w:gridCol w:w="1535"/>
        <w:gridCol w:w="60"/>
        <w:gridCol w:w="350"/>
        <w:gridCol w:w="60"/>
        <w:gridCol w:w="3830"/>
        <w:gridCol w:w="60"/>
        <w:gridCol w:w="1235"/>
        <w:gridCol w:w="60"/>
        <w:gridCol w:w="1205"/>
        <w:gridCol w:w="60"/>
        <w:gridCol w:w="485"/>
      </w:tblGrid>
      <w:tr>
        <w:trPr/>
        <w:tc>
          <w:tcPr>
            <w:tcW w:w="153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bottom w:val="single" w:sz="8" w:space="0" w:color="000000"/>
            </w:tcBorders>
            <w:vAlign w:val="center"/>
          </w:tcPr>
          <w:p>
            <w:pPr>
              <w:pStyle w:val="TableContents"/>
              <w:bidi w:val="0"/>
              <w:spacing w:before="0" w:after="283"/>
              <w:jc w:val="center"/>
              <w:rPr>
                <w:caps w:val="false"/>
                <w:smallCaps w:val="false"/>
              </w:rPr>
            </w:pPr>
            <w:r>
              <w:rPr>
                <w:caps w:val="false"/>
                <w:smallCaps w:val="false"/>
              </w:rPr>
              <w:t> </w:t>
            </w:r>
          </w:p>
        </w:tc>
        <w:tc>
          <w:tcPr>
            <w:tcW w:w="35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Age</w:t>
            </w:r>
          </w:p>
        </w:tc>
        <w:tc>
          <w:tcPr>
            <w:tcW w:w="60" w:type="dxa"/>
            <w:tcBorders>
              <w:bottom w:val="single" w:sz="8" w:space="0" w:color="000000"/>
            </w:tcBorders>
            <w:vAlign w:val="center"/>
          </w:tcPr>
          <w:p>
            <w:pPr>
              <w:pStyle w:val="TableContents"/>
              <w:bidi w:val="0"/>
              <w:spacing w:before="0" w:after="283"/>
              <w:jc w:val="center"/>
              <w:rPr>
                <w:caps w:val="false"/>
                <w:smallCaps w:val="false"/>
              </w:rPr>
            </w:pPr>
            <w:r>
              <w:rPr>
                <w:caps w:val="false"/>
                <w:smallCaps w:val="false"/>
              </w:rPr>
              <w:t> </w:t>
            </w:r>
          </w:p>
        </w:tc>
        <w:tc>
          <w:tcPr>
            <w:tcW w:w="383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Position with Company</w:t>
            </w:r>
          </w:p>
        </w:tc>
        <w:tc>
          <w:tcPr>
            <w:tcW w:w="60" w:type="dxa"/>
            <w:tcBorders>
              <w:bottom w:val="single" w:sz="8" w:space="0" w:color="000000"/>
            </w:tcBorders>
            <w:vAlign w:val="center"/>
          </w:tcPr>
          <w:p>
            <w:pPr>
              <w:pStyle w:val="TableContents"/>
              <w:bidi w:val="0"/>
              <w:spacing w:before="0" w:after="283"/>
              <w:jc w:val="center"/>
              <w:rPr>
                <w:caps w:val="false"/>
                <w:smallCaps w:val="false"/>
              </w:rPr>
            </w:pPr>
            <w:r>
              <w:rPr>
                <w:caps w:val="false"/>
                <w:smallCaps w:val="false"/>
              </w:rPr>
              <w:t> </w:t>
            </w:r>
          </w:p>
        </w:tc>
        <w:tc>
          <w:tcPr>
            <w:tcW w:w="123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Since</w:t>
            </w:r>
          </w:p>
        </w:tc>
        <w:tc>
          <w:tcPr>
            <w:tcW w:w="60" w:type="dxa"/>
            <w:tcBorders>
              <w:bottom w:val="single" w:sz="8" w:space="0" w:color="000000"/>
            </w:tcBorders>
            <w:vAlign w:val="center"/>
          </w:tcPr>
          <w:p>
            <w:pPr>
              <w:pStyle w:val="TableContents"/>
              <w:bidi w:val="0"/>
              <w:spacing w:before="0" w:after="283"/>
              <w:jc w:val="center"/>
              <w:rPr>
                <w:caps w:val="false"/>
                <w:smallCaps w:val="false"/>
              </w:rPr>
            </w:pPr>
            <w:r>
              <w:rPr>
                <w:caps w:val="false"/>
                <w:smallCaps w:val="false"/>
              </w:rPr>
              <w:t> </w:t>
            </w:r>
          </w:p>
        </w:tc>
        <w:tc>
          <w:tcPr>
            <w:tcW w:w="120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 Expires</w:t>
            </w:r>
          </w:p>
        </w:tc>
        <w:tc>
          <w:tcPr>
            <w:tcW w:w="60" w:type="dxa"/>
            <w:tcBorders>
              <w:bottom w:val="single" w:sz="8" w:space="0" w:color="000000"/>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w:t>
            </w:r>
          </w:p>
        </w:tc>
      </w:tr>
      <w:tr>
        <w:trPr/>
        <w:tc>
          <w:tcPr>
            <w:tcW w:w="153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Janet Whitmore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3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 of the Board of Directors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3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2028</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r>
      <w:tr>
        <w:trPr/>
        <w:tc>
          <w:tcPr>
            <w:tcW w:w="153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3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35"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53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Laura M. Beres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3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3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2028</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r>
      <w:tr>
        <w:trPr/>
        <w:tc>
          <w:tcPr>
            <w:tcW w:w="153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3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35"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535" w:type="dxa"/>
            <w:tcBorders/>
            <w:shd w:fill="CCEEFF" w:val="clear"/>
            <w:tcMar>
              <w:bottom w:w="0" w:type="dxa"/>
            </w:tcMar>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E. Miller</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CCEEFF" w:val="clear"/>
            <w:tcMar>
              <w:bottom w:w="0" w:type="dxa"/>
            </w:tcMar>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30" w:type="dxa"/>
            <w:tcBorders/>
            <w:shd w:fill="CCEEFF" w:val="clear"/>
            <w:tcMar>
              <w:bottom w:w="0" w:type="dxa"/>
            </w:tcMar>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35" w:type="dxa"/>
            <w:tcBorders/>
            <w:shd w:fill="CCEEFF" w:val="clear"/>
            <w:tcMar>
              <w:bottom w:w="0" w:type="dxa"/>
            </w:tcMar>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tcMar>
              <w:bottom w:w="0" w:type="dxa"/>
            </w:tcMar>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2027</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tcMar>
              <w:bottom w:w="0" w:type="dxa"/>
            </w:tcMar>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r>
      <w:tr>
        <w:trPr/>
        <w:tc>
          <w:tcPr>
            <w:tcW w:w="153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3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35"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53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Kevin Cureton</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3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Chief Executive Officer and Director</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3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2027</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Ms. Whitmore </w:t>
      </w:r>
      <w:r>
        <w:rPr>
          <w:rFonts w:ascii="Times New Roman;Times;Serif" w:hAnsi="Times New Roman;Times;Serif"/>
          <w:b w:val="false"/>
          <w:i w:val="false"/>
          <w:caps w:val="false"/>
          <w:smallCaps w:val="false"/>
          <w:sz w:val="20"/>
        </w:rPr>
        <w:t>joined the board in November 2003. She is a former director of Silverleaf Resorts, Inc., where she served as Chair of the Compensation Committee and as a member of the Audit Committee. She is also a former director of Epoch Biosciences, a supplier of proprietary products used to accelerate genomic analysis. Ms. Whitmore is Founder of Benton Consulting, LLC, which specializes in business development and processes. From 1976 through 1999, Ms. Whitmore held numerous engineering and finance positions at Mobil Corporation, including Mobil’s Chief Financial Analyst and Controller of Mobil’s Global Petrochemicals Division. Ms. Whitmore holds a B.S. degree in Chemical Engineering from Purdue University and an M.B.A. from Lewis University. We believe that Ms. Whitmore’s combination of global financial, engineering, and management expertise makes her a valuable member of our Board of Directors. Ms. Whitmore is the sister of Bradford T. Whitmore, and herself beneficially owned approximately 3% of the outstanding shares of our common stock as of March 25, 2026. Mr. Whitmore, together with his affiliate Grace Investments, LP., beneficially owned approximately 71% of the outstanding shares of our common stock as of March 25, 2026. He is also the manager of Beachcorp, LLC and Strandler, LLC.  The Company has entered into loan agreements with both Beachcorp, LLC, and Strandler, LLC.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Ms. Beres</w:t>
      </w:r>
      <w:r>
        <w:rPr>
          <w:rFonts w:ascii="Times New Roman;Times;Serif" w:hAnsi="Times New Roman;Times;Serif"/>
          <w:b w:val="false"/>
          <w:i w:val="false"/>
          <w:caps w:val="false"/>
          <w:smallCaps w:val="false"/>
          <w:sz w:val="20"/>
        </w:rPr>
        <w:t> has served as a director of the Company since October, 2020.  She has spent her career in corporate strategy and operations in retail and consumer industries, transforming programs and building new organizational and market-facing capabilities.  Ms. Beres currently serves as the VP, Head of Wellness at Ulta Beauty, having previously served as the VP Merchandising, Strategy &amp; Growth and VP, Enterprise Transformation.  Previously, she has worked at Deloitte Consulting, advising primarily on growth and transformation strategies in large-scale, consumer-facing companies, with additional leadership roles in the CMO practice, developing and executing strategies on global accounts. Ms. Beres started her career working in the financial services, focused on small and middle market companies, with responsibilities including commercial lending and credit evaluation, and credit transaction negotiation.  She earned her M.B.A. from The University of Chicago Booth School of Business and has a B.S. in Finance and B.A. in Oboe Performance from Butler University.  Ms. Beres also serves on the Board of Directors for Youth Guidance and the Board of Directors for Chicago Children’s Museum and has similarly served non-profit organizations on various Associate and Auxiliary Boards in Chicago.  We believe that Ms. Beres’ broad strategic experience in CPG, and specific experience with cosmetics, along with her strong financial background, makes her a valuable member of our Board of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Mr. Miller </w:t>
      </w:r>
      <w:r>
        <w:rPr>
          <w:rFonts w:ascii="Times New Roman;Times;Serif" w:hAnsi="Times New Roman;Times;Serif"/>
          <w:b w:val="false"/>
          <w:i w:val="false"/>
          <w:caps w:val="false"/>
          <w:smallCaps w:val="false"/>
          <w:sz w:val="20"/>
        </w:rPr>
        <w:t>has served as a Director of the Company since July, 2023.  He has spent most of his career in leadership and operations roles in chemical manufacturing companies in the personal care and pharmaceutical industries.  Mr. Miller currently serves as Chief Executive Officer and Board Chair at MetiSense LLC.  He also serves on the Board of Directors with Cupron, Inc. and Curie Co., two privately held organizations in advanced materials.  Previously he was the President and Chief Operating Officer at Nagase Specialty Materials, where he led the North American organization, and he has worked at Business Performance Consultancy as a Principal and in Executive roles at Lonza and BASF.    He earned his JD from the University of Illinois Chicago, M.B.A. from the University of Illinois Urbana-Champaign, and has a BBA in Business Administration from the University of Notre Dame.  We believe that Mr. Miller’s broad strategic experience in personal care chemical manufacturing along with his strong executive leadership background makes him a valuable member of our Board of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Mr. Cureton </w:t>
      </w:r>
      <w:r>
        <w:rPr>
          <w:rFonts w:ascii="Times New Roman;Times;Serif" w:hAnsi="Times New Roman;Times;Serif"/>
          <w:b w:val="false"/>
          <w:i w:val="false"/>
          <w:caps w:val="false"/>
          <w:smallCaps w:val="false"/>
          <w:sz w:val="20"/>
        </w:rPr>
        <w:t>joined the Board in November 2025. He has served as the Company’s President and Chief Executive Officer since that time. After joining the Company in 2012, Mr. Cureton held offices including Chief Operation Officer, Chief Commercial Officer and Vice President, Sales, Marketing and Business Development. Prior to joining the Company, he served as Managing Partner Insight Ventures, Inc, Managing Director, AMCOL Health &amp; Beauty Solutions. Inc, Managing Director Corporate Development at AMCOL International Corporation, Director Business Development AMCOL International Corporation, Chemical Subsidiary and he has worked in management roles at JCS, Inc, Air Product, Betz Laboratories, Inc and Borden, Inc. Mr. Cureton holds a B.S. in chemical engineering from Carnegie Mellon University and an M.B.A. from The University of Chicago Booth School of Business. Mr. Cureton also serves on the Board of Trustees for Marillac St. Vincent Family Services. We believe that Mr. Cureton’s broad strategic experience in personal care chemical manufacturing along with his strong executive leadership background makes him a valuable member of our Board of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r>
        <w:rPr>
          <w:rFonts w:ascii="Times New Roman;Times;Serif" w:hAnsi="Times New Roman;Times;Serif"/>
          <w:b/>
          <w:i w:val="false"/>
          <w:caps w:val="false"/>
          <w:smallCaps w:val="false"/>
          <w:sz w:val="20"/>
        </w:rPr>
        <w:t xml:space="preserve">Meetings of the Board and Committees </w:t>
      </w:r>
      <w:r>
        <w:rPr>
          <w:rFonts w:ascii="Times New Roman;Times;Serif" w:hAnsi="Times New Roman;Times;Serif"/>
          <w:b w:val="false"/>
          <w:i w:val="false"/>
          <w:caps w:val="false"/>
          <w:smallCaps w:val="false"/>
          <w:sz w:val="20"/>
        </w:rPr>
        <w:t>During the year ended December 31, 2025, the Board of Directors (“BOD”) held fourteen meetings.  All directors attended all meetings of the BOD and related committee meetings in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Committees of the Board of Directors </w:t>
      </w:r>
      <w:r>
        <w:rPr>
          <w:rFonts w:ascii="Times New Roman;Times;Serif" w:hAnsi="Times New Roman;Times;Serif"/>
          <w:b w:val="false"/>
          <w:i w:val="false"/>
          <w:caps w:val="false"/>
          <w:smallCaps w:val="false"/>
          <w:sz w:val="20"/>
        </w:rPr>
        <w:t>-- The Board of Directors has established an Audit and Finance Committee, Compensation Committee and Nominating and Corporate Governance Committee. Each operates in accordance with its charter (available on our website www.solesence.com under the “Investor Relations” section). The current members of the Audit and Finance Committee are Ms. Beres (Chair), and Mr. Miller. The members of the Compensation Committee are Ms. Whitmore (Chair), Ms. Beres, and Mr. Miller. The members of the Nominating and Corporate Governance Committee are Ms. Whitmore (Chair), Ms. Beres, and Mr. Miller.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and Finance Committee generally has responsibility for retaining the Company’s independent public auditors, reviewing the plan and scope of the accountants’ annual audit, reviewing the Company’s internal control functions and financial management policies, reviewing and approving all related party transactions, and reporting to the Board of Directors regarding all of the foregoing. The Audit and Finance Committee held five meetings during 2025. The Board of Directors has determined that Ms. Beres is an “audit committee financial expert” as described in applicable SEC rules.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generally has responsibility for establishing executive officer and key employee compensation, reviewing, and establishing the Company’s executive compensation, evaluating our Outside Director compensation, and reporting to the Board of Directors regarding the foregoing. The Compensation Committee also has responsibility for administering the 2025 Equity Compensation Plan (the “2025 Equity Plan”), determining the number of options, if any, to be granted to the Company’s employees and consultants pursuant to the 2025 Equity Plan, and reporting to the Board of Directors regarding the foregoing. Regarding most compensation matters, including executive compensation, our management provides recommendations to the Compensation Committee; however, the Compensation Committee does not delegate any of its functions to others in setting compensation. The Compensation Committee does not currently utilize external consultants in executive or director compensation matters. The Compensation Committee held six meetings during 2025. Each member of the Compensation Committee is a “non-employee director” as defined in Rule 16b-3 under the Exchange Act and is an “Outside Director” as defined by the regulations under Section 162(m) of the Internal Revenue Code.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Nominating Committee and Corporate Governance generally has responsibility for evaluating and nominating candidates to serve on the Board of Directors, and for establishing and reviewing our Corporate Governance Principles. The Nominating and Corporate Governance Committee held one meeting during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considers its role in risk oversight to focus primarily on evaluating risk at the entity and strategic levels, with management primarily responsible for managing day-to-day risk factors and presenting summary materials for those positions to the Board of Directors. Consistent with this philosophy, the Board of Directors has no formal policy as to whether the roles of Chief Executive Officer and board Chair should be segregated or combined. The Board of Directors considers the circumstances of the Company and makes a determination as to the appropriate leadership structure for the Company at that time. As of the time of this filing, the positions of CEO and Board Chair are held by two individuals – Ms. Whitmore serves as Chair and Mr. Cureton serves as CEO. Ms. Whitmore brings extensive experience in corporate leadership from her own working experience and from a number of boards on which she has served in the past, and Mr. Cureton is expected to benefit from that experience. The Board of Directors believes this to be the most appropriate structure for the Company at this time. Under our Corporate Governance Principles, in the event that the Chair of the Board is not an Outside Director, the Board will elect a lead independent director, who will have the responsibility to schedule and prepare agendas for meetings of the Outside Directors, communicate with the CEO, disseminate information to the rest of the Board and raise issues with management on behalf of the Outside Directors when appropriate. The Board evaluates its leadership structure on an ongoing basis and may change it as circumstances warrant.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does not have a stated policy regarding diversity, although pursuant to our Corporate Governance Principles, diversity is one factor that the Nominating and Corporate Governance Committee considers when recommending directors for stockholder approval. The Board seeks experienced individuals for service who bring extensive experience in leadership, operations, finance, and engineering, particularly in areas directly applicable to the Company or its intended future endeavors.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11"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EXECUTIVE OFFICERS</w:t>
      </w:r>
    </w:p>
    <w:p>
      <w:pPr>
        <w:pStyle w:val="TextBody"/>
        <w:bidi w:val="0"/>
        <w:spacing w:before="0" w:after="0"/>
        <w:ind w:left="11"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 forth below is certain information regarding the executive officers of the Company as of the date of this Form 10-K who are not identified above as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tbl>
      <w:tblPr>
        <w:tblW w:w="3480" w:type="dxa"/>
        <w:jc w:val="left"/>
        <w:tblInd w:w="0" w:type="dxa"/>
        <w:tblLayout w:type="fixed"/>
        <w:tblCellMar>
          <w:top w:w="0" w:type="dxa"/>
          <w:left w:w="0" w:type="dxa"/>
          <w:bottom w:w="28" w:type="dxa"/>
          <w:right w:w="0" w:type="dxa"/>
        </w:tblCellMar>
      </w:tblPr>
      <w:tblGrid>
        <w:gridCol w:w="1115"/>
        <w:gridCol w:w="60"/>
        <w:gridCol w:w="350"/>
        <w:gridCol w:w="60"/>
        <w:gridCol w:w="1895"/>
      </w:tblGrid>
      <w:tr>
        <w:trPr/>
        <w:tc>
          <w:tcPr>
            <w:tcW w:w="111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9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Position</w:t>
            </w:r>
          </w:p>
        </w:tc>
      </w:tr>
      <w:tr>
        <w:trPr/>
        <w:tc>
          <w:tcPr>
            <w:tcW w:w="111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Laura Riffner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9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Ms. Riffner </w:t>
      </w:r>
      <w:r>
        <w:rPr>
          <w:rFonts w:ascii="Times New Roman;Times;Serif" w:hAnsi="Times New Roman;Times;Serif"/>
          <w:b w:val="false"/>
          <w:i w:val="false"/>
          <w:caps w:val="false"/>
          <w:smallCaps w:val="false"/>
          <w:sz w:val="20"/>
        </w:rPr>
        <w:t>joined the Company in September 2025 as Chief Financial Officer. She previously served as Chief Financial Officer and then as Chief Finance and Strategy Officer at Nagase America, a distributor and manufacturer of specialty chemicals. She also was previously the Chief Financial Officer at Paxton/Patterson. Ms. Riffner holds a B.A. from Benedictine University in international business and is a licensed Certified Public Accountant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elects executive officers and such executive officers, subject to the terms of their employment agreements, serve at the discretion of the Board of Directors. Mr. Cureton and Ms. Riffner each have employment agreements with the Company. See Item 11 below. There are no family relationships among any of the directors or officers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DELINQUENT SECTION 16(a) REPORTS</w:t>
      </w:r>
    </w:p>
    <w:p>
      <w:pPr>
        <w:pStyle w:val="TextBody"/>
        <w:bidi w:val="0"/>
        <w:spacing w:before="0" w:after="0"/>
        <w:ind w:left="0" w:right="0" w:firstLine="72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16 of the Exchange Act requires the Company’s officers (as defined under Section 16), directors and persons who beneficially own greater than 10% of a registered class of our equity securities to file reports of ownership and changes in ownership with the SEC. Based solely on a review of the forms we have received, we believe that during 2025 all Section 16 filing requirements applicable to our officers, directors and 10% beneficial owners were complied with by such persons, with the exception of two late Form 4 filings by Ms. Whitmore and one late Form 4 filing by Ms. Riffner.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CODE OF ETHICS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adopted a Code of Business Conduct and Ethics (“Code of Ethics”) that applies to, among others, our principal executive officer, principal financial officer and principal accounting officer or controller, or persons performing similar functions. The Code of Ethics is posted on our Internet website www.solesence.com under the “Investor Relations” section. In the event that we make any amendment to, or grant any waiver from, a provision of the Code of Ethics that requires disclosure under applicable SEC rules, we intend to disclose such amendment or waiver on our website.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INSIDER TRADING POLICY</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w:t>
      </w:r>
      <w:bookmarkStart w:id="77" w:name="xdx_90A_eecd--InsiderTrdPoliciesProcAdop"/>
      <w:bookmarkEnd w:id="77"/>
      <w:r>
        <w:rPr>
          <w:rFonts w:ascii="Times New Roman;Times;Serif" w:hAnsi="Times New Roman;Times;Serif"/>
          <w:b w:val="false"/>
          <w:i w:val="false"/>
          <w:caps w:val="false"/>
          <w:smallCaps w:val="false"/>
          <w:sz w:val="20"/>
        </w:rPr>
        <w:t>insider trading policy includes provisions that prohibit officers, directors, advisory board members, employees and independent contractors, as well as each of those person’s spouse, minor child, any person living in their household from engaging in short sales, put or call options, hedging transactions, pledging, or other derivative transactions involving Solésence stock. The Company’s Insider Trading Policy is attached in Exhibit 19.</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bookmarkStart w:id="78" w:name="solesence10ka039"/>
      <w:bookmarkEnd w:id="78"/>
      <w:r>
        <w:rPr>
          <w:rFonts w:ascii="Times New Roman;Times;Serif" w:hAnsi="Times New Roman;Times;Serif"/>
          <w:b/>
          <w:i w:val="false"/>
          <w:caps w:val="false"/>
          <w:smallCaps w:val="false"/>
          <w:sz w:val="20"/>
        </w:rPr>
        <w:t>Item 11. Executive Compensation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COMPENSATION TABLE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a summary of the compensation for each of our named executive officers in U.S. dollars for the years ended December 31, 2025 and 2024.</w:t>
      </w:r>
    </w:p>
    <w:p>
      <w:pPr>
        <w:pStyle w:val="TextBody"/>
        <w:bidi w:val="0"/>
        <w:spacing w:before="0" w:after="0"/>
        <w:ind w:left="0" w:right="0" w:firstLine="720"/>
        <w:jc w:val="both"/>
        <w:rPr>
          <w:caps w:val="false"/>
          <w:smallCaps w:val="false"/>
        </w:rPr>
      </w:pPr>
      <w:r>
        <w:rPr>
          <w:caps w:val="false"/>
          <w:smallCaps w:val="false"/>
        </w:rPr>
        <w:t> </w:t>
      </w:r>
    </w:p>
    <w:tbl>
      <w:tblPr>
        <w:tblW w:w="9534" w:type="dxa"/>
        <w:jc w:val="left"/>
        <w:tblInd w:w="-10" w:type="dxa"/>
        <w:tblLayout w:type="fixed"/>
        <w:tblCellMar>
          <w:top w:w="28" w:type="dxa"/>
          <w:left w:w="108" w:type="dxa"/>
          <w:bottom w:w="28" w:type="dxa"/>
          <w:right w:w="0" w:type="dxa"/>
        </w:tblCellMar>
      </w:tblPr>
      <w:tblGrid>
        <w:gridCol w:w="3200"/>
        <w:gridCol w:w="60"/>
        <w:gridCol w:w="60"/>
        <w:gridCol w:w="440"/>
        <w:gridCol w:w="60"/>
        <w:gridCol w:w="60"/>
        <w:gridCol w:w="125"/>
        <w:gridCol w:w="695"/>
        <w:gridCol w:w="60"/>
        <w:gridCol w:w="60"/>
        <w:gridCol w:w="125"/>
        <w:gridCol w:w="695"/>
        <w:gridCol w:w="60"/>
        <w:gridCol w:w="60"/>
        <w:gridCol w:w="125"/>
        <w:gridCol w:w="695"/>
        <w:gridCol w:w="60"/>
        <w:gridCol w:w="60"/>
        <w:gridCol w:w="316"/>
        <w:gridCol w:w="1503"/>
        <w:gridCol w:w="60"/>
        <w:gridCol w:w="60"/>
        <w:gridCol w:w="125"/>
        <w:gridCol w:w="695"/>
        <w:gridCol w:w="75"/>
      </w:tblGrid>
      <w:tr>
        <w:trPr/>
        <w:tc>
          <w:tcPr>
            <w:tcW w:w="3200" w:type="dxa"/>
            <w:tcBorders>
              <w:top w:val="single" w:sz="8" w:space="0" w:color="000000"/>
              <w:left w:val="single" w:sz="8" w:space="0" w:color="000000"/>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and Principal Position</w:t>
            </w:r>
          </w:p>
        </w:tc>
        <w:tc>
          <w:tcPr>
            <w:tcW w:w="60" w:type="dxa"/>
            <w:tcBorders>
              <w:top w:val="single" w:sz="8" w:space="0" w:color="000000"/>
              <w:bottom w:val="single" w:sz="8" w:space="0" w:color="000000"/>
              <w:right w:val="single" w:sz="8" w:space="0" w:color="000000"/>
            </w:tcBorders>
            <w:tcMar>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c>
          <w:tcPr>
            <w:tcW w:w="500" w:type="dxa"/>
            <w:gridSpan w:val="2"/>
            <w:tcBorders>
              <w:top w:val="single" w:sz="8" w:space="0" w:color="000000"/>
              <w:bottom w:val="single" w:sz="8" w:space="0" w:color="000000"/>
            </w:tcBorders>
            <w:tcMar>
              <w:left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w:t>
            </w:r>
          </w:p>
        </w:tc>
        <w:tc>
          <w:tcPr>
            <w:tcW w:w="60" w:type="dxa"/>
            <w:tcBorders>
              <w:top w:val="single" w:sz="8" w:space="0" w:color="000000"/>
              <w:bottom w:val="single" w:sz="8" w:space="0" w:color="000000"/>
              <w:right w:val="single" w:sz="8" w:space="0" w:color="000000"/>
            </w:tcBorders>
            <w:tcMar>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op w:val="single" w:sz="8" w:space="0" w:color="000000"/>
              <w:bottom w:val="single" w:sz="8" w:space="0" w:color="000000"/>
            </w:tcBorders>
            <w:tcMar>
              <w:left w:w="0" w:type="dxa"/>
            </w:tcMar>
            <w:vAlign w:val="center"/>
          </w:tcPr>
          <w:p>
            <w:pPr>
              <w:pStyle w:val="TableContents"/>
              <w:bidi w:val="0"/>
              <w:spacing w:before="0" w:after="283"/>
              <w:jc w:val="left"/>
              <w:rPr>
                <w:caps w:val="false"/>
                <w:smallCaps w:val="false"/>
              </w:rPr>
            </w:pPr>
            <w:r>
              <w:rPr>
                <w:caps w:val="false"/>
                <w:smallCaps w:val="false"/>
              </w:rPr>
              <w:t> </w:t>
            </w:r>
          </w:p>
        </w:tc>
        <w:tc>
          <w:tcPr>
            <w:tcW w:w="820" w:type="dxa"/>
            <w:gridSpan w:val="2"/>
            <w:tcBorders>
              <w:top w:val="single" w:sz="8" w:space="0" w:color="000000"/>
              <w:bottom w:val="single" w:sz="8" w:space="0" w:color="000000"/>
            </w:tcBorders>
            <w:tcMar>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Salary </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w:t>
            </w:r>
          </w:p>
        </w:tc>
        <w:tc>
          <w:tcPr>
            <w:tcW w:w="60" w:type="dxa"/>
            <w:tcBorders>
              <w:top w:val="single" w:sz="8" w:space="0" w:color="000000"/>
              <w:bottom w:val="single" w:sz="8" w:space="0" w:color="000000"/>
              <w:right w:val="single" w:sz="8" w:space="0" w:color="000000"/>
            </w:tcBorders>
            <w:tcMar>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op w:val="single" w:sz="8" w:space="0" w:color="000000"/>
              <w:bottom w:val="single" w:sz="8" w:space="0" w:color="000000"/>
            </w:tcBorders>
            <w:tcMar>
              <w:left w:w="0" w:type="dxa"/>
            </w:tcMar>
            <w:vAlign w:val="center"/>
          </w:tcPr>
          <w:p>
            <w:pPr>
              <w:pStyle w:val="TableContents"/>
              <w:bidi w:val="0"/>
              <w:spacing w:before="0" w:after="283"/>
              <w:jc w:val="left"/>
              <w:rPr>
                <w:caps w:val="false"/>
                <w:smallCaps w:val="false"/>
              </w:rPr>
            </w:pPr>
            <w:r>
              <w:rPr>
                <w:caps w:val="false"/>
                <w:smallCaps w:val="false"/>
              </w:rPr>
              <w:t> </w:t>
            </w:r>
          </w:p>
        </w:tc>
        <w:tc>
          <w:tcPr>
            <w:tcW w:w="820" w:type="dxa"/>
            <w:gridSpan w:val="2"/>
            <w:tcBorders>
              <w:top w:val="single" w:sz="8" w:space="0" w:color="000000"/>
              <w:bottom w:val="single" w:sz="8" w:space="0" w:color="000000"/>
            </w:tcBorders>
            <w:tcMar>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Bonus </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 xml:space="preserve">($) </w:t>
            </w:r>
            <w:r>
              <w:rPr>
                <w:rFonts w:ascii="Times New Roman;Times;Serif" w:hAnsi="Times New Roman;Times;Serif"/>
                <w:b/>
                <w:i w:val="false"/>
                <w:caps w:val="false"/>
                <w:smallCaps w:val="false"/>
                <w:position w:val="7"/>
                <w:sz w:val="16"/>
                <w:sz w:val="20"/>
              </w:rPr>
              <w:t>(1)</w:t>
            </w:r>
          </w:p>
        </w:tc>
        <w:tc>
          <w:tcPr>
            <w:tcW w:w="60" w:type="dxa"/>
            <w:tcBorders>
              <w:top w:val="single" w:sz="8" w:space="0" w:color="000000"/>
              <w:bottom w:val="single" w:sz="8" w:space="0" w:color="000000"/>
            </w:tcBorders>
            <w:tcMar>
              <w:left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op w:val="single" w:sz="8" w:space="0" w:color="000000"/>
              <w:left w:val="single" w:sz="8" w:space="0" w:color="000000"/>
              <w:bottom w:val="single" w:sz="8" w:space="0" w:color="000000"/>
            </w:tcBorders>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820" w:type="dxa"/>
            <w:gridSpan w:val="2"/>
            <w:tcBorders>
              <w:top w:val="single" w:sz="8" w:space="0" w:color="000000"/>
              <w:bottom w:val="single" w:sz="8" w:space="0" w:color="000000"/>
            </w:tcBorders>
            <w:tcMar>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Option </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Awards</w:t>
            </w:r>
            <w:r>
              <w:rPr>
                <w:rFonts w:ascii="Times New Roman;Times;Serif" w:hAnsi="Times New Roman;Times;Serif"/>
                <w:b w:val="false"/>
                <w:i w:val="false"/>
                <w:caps w:val="false"/>
                <w:smallCaps w:val="false"/>
                <w:sz w:val="20"/>
              </w:rPr>
              <w:t xml:space="preserve"> </w:t>
              <w:br/>
            </w:r>
            <w:r>
              <w:rPr>
                <w:rFonts w:ascii="Times New Roman;Times;Serif" w:hAnsi="Times New Roman;Times;Serif"/>
                <w:b/>
                <w:i w:val="false"/>
                <w:caps w:val="false"/>
                <w:smallCaps w:val="false"/>
                <w:sz w:val="20"/>
              </w:rPr>
              <w:t xml:space="preserve">($) </w:t>
            </w:r>
            <w:r>
              <w:rPr>
                <w:rFonts w:ascii="Times New Roman;Times;Serif" w:hAnsi="Times New Roman;Times;Serif"/>
                <w:b/>
                <w:i w:val="false"/>
                <w:caps w:val="false"/>
                <w:smallCaps w:val="false"/>
                <w:position w:val="7"/>
                <w:sz w:val="16"/>
                <w:sz w:val="20"/>
              </w:rPr>
              <w:t>(2)</w:t>
            </w:r>
          </w:p>
        </w:tc>
        <w:tc>
          <w:tcPr>
            <w:tcW w:w="60" w:type="dxa"/>
            <w:tcBorders>
              <w:top w:val="single" w:sz="8" w:space="0" w:color="000000"/>
              <w:bottom w:val="single" w:sz="8" w:space="0" w:color="000000"/>
            </w:tcBorders>
            <w:tcMar>
              <w:left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op w:val="single" w:sz="8" w:space="0" w:color="000000"/>
              <w:left w:val="single" w:sz="8" w:space="0" w:color="000000"/>
              <w:bottom w:val="single" w:sz="8" w:space="0" w:color="000000"/>
            </w:tcBorders>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1819" w:type="dxa"/>
            <w:gridSpan w:val="2"/>
            <w:tcBorders>
              <w:top w:val="single" w:sz="8" w:space="0" w:color="000000"/>
              <w:bottom w:val="single" w:sz="8" w:space="0" w:color="000000"/>
            </w:tcBorders>
            <w:tcMar>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All </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 xml:space="preserve">Other Compensation </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 xml:space="preserve">($) </w:t>
            </w:r>
            <w:r>
              <w:rPr>
                <w:rFonts w:ascii="Times New Roman;Times;Serif" w:hAnsi="Times New Roman;Times;Serif"/>
                <w:b/>
                <w:i w:val="false"/>
                <w:caps w:val="false"/>
                <w:smallCaps w:val="false"/>
                <w:position w:val="7"/>
                <w:sz w:val="16"/>
                <w:sz w:val="20"/>
              </w:rPr>
              <w:t>(3)</w:t>
            </w:r>
          </w:p>
        </w:tc>
        <w:tc>
          <w:tcPr>
            <w:tcW w:w="60" w:type="dxa"/>
            <w:tcBorders>
              <w:top w:val="single" w:sz="8" w:space="0" w:color="000000"/>
              <w:bottom w:val="single" w:sz="8" w:space="0" w:color="000000"/>
            </w:tcBorders>
            <w:tcMar>
              <w:left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op w:val="single" w:sz="8" w:space="0" w:color="000000"/>
              <w:left w:val="single" w:sz="8" w:space="0" w:color="000000"/>
              <w:bottom w:val="single" w:sz="8" w:space="0" w:color="000000"/>
            </w:tcBorders>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820" w:type="dxa"/>
            <w:gridSpan w:val="2"/>
            <w:tcBorders>
              <w:top w:val="single" w:sz="8" w:space="0" w:color="000000"/>
              <w:bottom w:val="single" w:sz="8" w:space="0" w:color="000000"/>
            </w:tcBorders>
            <w:tcMar>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Total </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w:t>
            </w:r>
          </w:p>
        </w:tc>
        <w:tc>
          <w:tcPr>
            <w:tcW w:w="75" w:type="dxa"/>
            <w:tcBorders>
              <w:top w:val="single" w:sz="8" w:space="0" w:color="000000"/>
              <w:bottom w:val="single" w:sz="8" w:space="0" w:color="000000"/>
              <w:right w:val="single" w:sz="8" w:space="0" w:color="000000"/>
            </w:tcBorders>
            <w:tcMar>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3200" w:type="dxa"/>
            <w:tcBorders>
              <w:left w:val="single" w:sz="8" w:space="0" w:color="000000"/>
            </w:tcBorders>
            <w:shd w:fill="CCEEFF" w:val="clear"/>
            <w:tcMar>
              <w:top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Jess Jankowski </w:t>
            </w:r>
            <w:r>
              <w:rPr>
                <w:rFonts w:ascii="Times New Roman;Times;Serif" w:hAnsi="Times New Roman;Times;Serif"/>
                <w:b w:val="false"/>
                <w:i w:val="false"/>
                <w:caps w:val="false"/>
                <w:smallCaps w:val="false"/>
                <w:position w:val="7"/>
                <w:sz w:val="16"/>
                <w:sz w:val="20"/>
              </w:rPr>
              <w:t>(4)</w:t>
            </w:r>
          </w:p>
        </w:tc>
        <w:tc>
          <w:tcPr>
            <w:tcW w:w="60" w:type="dxa"/>
            <w:tcBorders>
              <w:right w:val="single" w:sz="8" w:space="0" w:color="000000"/>
            </w:tcBorders>
            <w:shd w:fill="CCEEFF" w:val="clear"/>
            <w:tcMar>
              <w:top w:w="0" w:type="dxa"/>
              <w:left w:w="0" w:type="dxa"/>
              <w:bottom w:w="0" w:type="dxa"/>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top w:w="0" w:type="dxa"/>
              <w:left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CCEEFF" w:val="clear"/>
            <w:tcMar>
              <w:top w:w="0" w:type="dxa"/>
              <w:left w:w="0" w:type="dxa"/>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w:t>
            </w:r>
          </w:p>
        </w:tc>
        <w:tc>
          <w:tcPr>
            <w:tcW w:w="60" w:type="dxa"/>
            <w:tcBorders>
              <w:right w:val="single" w:sz="8" w:space="0" w:color="000000"/>
            </w:tcBorders>
            <w:shd w:fill="CCEEFF" w:val="clear"/>
            <w:tcMar>
              <w:top w:w="0" w:type="dxa"/>
              <w:left w:w="0" w:type="dxa"/>
              <w:bottom w:w="0" w:type="dxa"/>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top w:w="0" w:type="dxa"/>
              <w:left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top w:w="0" w:type="dxa"/>
              <w:left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CCEEFF" w:val="clear"/>
            <w:tcMar>
              <w:top w:w="0" w:type="dxa"/>
              <w:left w:w="0" w:type="dxa"/>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398,249</w:t>
            </w:r>
          </w:p>
        </w:tc>
        <w:tc>
          <w:tcPr>
            <w:tcW w:w="60" w:type="dxa"/>
            <w:tcBorders>
              <w:right w:val="single" w:sz="8" w:space="0" w:color="000000"/>
            </w:tcBorders>
            <w:shd w:fill="CCEEFF" w:val="clear"/>
            <w:tcMar>
              <w:top w:w="0" w:type="dxa"/>
              <w:left w:w="0" w:type="dxa"/>
              <w:bottom w:w="0" w:type="dxa"/>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top w:w="0" w:type="dxa"/>
              <w:left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top w:w="0" w:type="dxa"/>
              <w:left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CCEEFF" w:val="clear"/>
            <w:tcMar>
              <w:top w:w="0" w:type="dxa"/>
              <w:left w:w="0" w:type="dxa"/>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141,569</w:t>
            </w:r>
          </w:p>
        </w:tc>
        <w:tc>
          <w:tcPr>
            <w:tcW w:w="60" w:type="dxa"/>
            <w:tcBorders/>
            <w:shd w:fill="CCEEFF" w:val="clear"/>
            <w:tcMar>
              <w:top w:w="0" w:type="dxa"/>
              <w:left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shd w:fill="CCEEFF" w:val="clear"/>
            <w:tcMar>
              <w:top w:w="0" w:type="dxa"/>
              <w:left w:w="28"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top w:w="0" w:type="dxa"/>
              <w:left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CCEEFF" w:val="clear"/>
            <w:tcMar>
              <w:top w:w="0" w:type="dxa"/>
              <w:left w:w="0" w:type="dxa"/>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tcMar>
              <w:top w:w="0" w:type="dxa"/>
              <w:left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shd w:fill="CCEEFF" w:val="clear"/>
            <w:tcMar>
              <w:top w:w="0" w:type="dxa"/>
              <w:left w:w="28"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316" w:type="dxa"/>
            <w:tcBorders/>
            <w:shd w:fill="CCEEFF" w:val="clear"/>
            <w:tcMar>
              <w:top w:w="0" w:type="dxa"/>
              <w:left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03" w:type="dxa"/>
            <w:tcBorders/>
            <w:shd w:fill="CCEEFF" w:val="clear"/>
            <w:tcMar>
              <w:top w:w="0" w:type="dxa"/>
              <w:left w:w="0" w:type="dxa"/>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28,006</w:t>
            </w:r>
          </w:p>
        </w:tc>
        <w:tc>
          <w:tcPr>
            <w:tcW w:w="60" w:type="dxa"/>
            <w:tcBorders/>
            <w:shd w:fill="CCEEFF" w:val="clear"/>
            <w:tcMar>
              <w:top w:w="0" w:type="dxa"/>
              <w:left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shd w:fill="CCEEFF" w:val="clear"/>
            <w:tcMar>
              <w:top w:w="0" w:type="dxa"/>
              <w:left w:w="28"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top w:w="0" w:type="dxa"/>
              <w:left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CCEEFF" w:val="clear"/>
            <w:tcMar>
              <w:top w:w="0" w:type="dxa"/>
              <w:left w:w="0" w:type="dxa"/>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567,824</w:t>
            </w:r>
          </w:p>
        </w:tc>
        <w:tc>
          <w:tcPr>
            <w:tcW w:w="75" w:type="dxa"/>
            <w:tcBorders>
              <w:right w:val="single" w:sz="8" w:space="0" w:color="000000"/>
            </w:tcBorders>
            <w:shd w:fill="CCEEFF" w:val="clear"/>
            <w:tcMar>
              <w:top w:w="0" w:type="dxa"/>
              <w:left w:w="0" w:type="dxa"/>
              <w:bottom w:w="0" w:type="dxa"/>
              <w:right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3200" w:type="dxa"/>
            <w:tcBorders>
              <w:left w:val="single" w:sz="8" w:space="0" w:color="000000"/>
              <w:bottom w:val="single" w:sz="8" w:space="0" w:color="000000"/>
            </w:tcBorders>
            <w:shd w:fill="CCEE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c>
          <w:tcPr>
            <w:tcW w:w="60" w:type="dxa"/>
            <w:tcBorders>
              <w:bottom w:val="single" w:sz="8" w:space="0" w:color="000000"/>
              <w:right w:val="single" w:sz="8" w:space="0" w:color="000000"/>
            </w:tcBorders>
            <w:shd w:fill="CCEEFF" w:val="clear"/>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c>
          <w:tcPr>
            <w:tcW w:w="440" w:type="dxa"/>
            <w:tcBorders>
              <w:bottom w:val="single" w:sz="8" w:space="0" w:color="000000"/>
            </w:tcBorders>
            <w:shd w:fill="CCEEFF" w:val="clear"/>
            <w:tcMar>
              <w:top w:w="0" w:type="dxa"/>
              <w:left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2024</w:t>
            </w:r>
          </w:p>
        </w:tc>
        <w:tc>
          <w:tcPr>
            <w:tcW w:w="60" w:type="dxa"/>
            <w:tcBorders>
              <w:bottom w:val="single" w:sz="8" w:space="0" w:color="000000"/>
              <w:right w:val="single" w:sz="8" w:space="0" w:color="000000"/>
            </w:tcBorders>
            <w:shd w:fill="CCEEFF" w:val="clear"/>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bottom w:val="single" w:sz="8" w:space="0" w:color="000000"/>
            </w:tcBorders>
            <w:shd w:fill="CCEEFF" w:val="clear"/>
            <w:tcMar>
              <w:top w:w="0" w:type="dxa"/>
              <w:left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357,072</w:t>
            </w:r>
          </w:p>
        </w:tc>
        <w:tc>
          <w:tcPr>
            <w:tcW w:w="60" w:type="dxa"/>
            <w:tcBorders>
              <w:bottom w:val="single" w:sz="8" w:space="0" w:color="000000"/>
              <w:right w:val="single" w:sz="8" w:space="0" w:color="000000"/>
            </w:tcBorders>
            <w:shd w:fill="CCEEFF" w:val="clear"/>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bottom w:val="single" w:sz="8" w:space="0" w:color="000000"/>
            </w:tcBorders>
            <w:shd w:fill="CCEEFF" w:val="clear"/>
            <w:tcMar>
              <w:top w:w="0" w:type="dxa"/>
              <w:left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bottom w:val="single" w:sz="8" w:space="0" w:color="000000"/>
            </w:tcBorders>
            <w:shd w:fill="CCEEFF" w:val="clear"/>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bottom w:val="single" w:sz="8" w:space="0" w:color="000000"/>
            </w:tcBorders>
            <w:shd w:fill="CCEEFF" w:val="clear"/>
            <w:tcMar>
              <w:top w:w="0" w:type="dxa"/>
              <w:left w:w="28"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bottom w:val="single" w:sz="8" w:space="0" w:color="000000"/>
            </w:tcBorders>
            <w:shd w:fill="CCEEFF" w:val="clear"/>
            <w:tcMar>
              <w:top w:w="0" w:type="dxa"/>
              <w:left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39,738</w:t>
            </w:r>
          </w:p>
        </w:tc>
        <w:tc>
          <w:tcPr>
            <w:tcW w:w="60" w:type="dxa"/>
            <w:tcBorders>
              <w:bottom w:val="single" w:sz="8" w:space="0" w:color="000000"/>
            </w:tcBorders>
            <w:shd w:fill="CCEEFF" w:val="clear"/>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bottom w:val="single" w:sz="8" w:space="0" w:color="000000"/>
            </w:tcBorders>
            <w:shd w:fill="CCEEFF" w:val="clear"/>
            <w:tcMar>
              <w:top w:w="0" w:type="dxa"/>
              <w:left w:w="28" w:type="dxa"/>
            </w:tcMar>
            <w:vAlign w:val="center"/>
          </w:tcPr>
          <w:p>
            <w:pPr>
              <w:pStyle w:val="TableContents"/>
              <w:bidi w:val="0"/>
              <w:spacing w:before="0" w:after="283"/>
              <w:jc w:val="left"/>
              <w:rPr>
                <w:caps w:val="false"/>
                <w:smallCaps w:val="false"/>
              </w:rPr>
            </w:pPr>
            <w:r>
              <w:rPr>
                <w:caps w:val="false"/>
                <w:smallCaps w:val="false"/>
              </w:rPr>
              <w:t> </w:t>
            </w:r>
          </w:p>
        </w:tc>
        <w:tc>
          <w:tcPr>
            <w:tcW w:w="316" w:type="dxa"/>
            <w:tcBorders>
              <w:bottom w:val="single" w:sz="8" w:space="0" w:color="000000"/>
            </w:tcBorders>
            <w:shd w:fill="CCEEFF" w:val="clear"/>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03" w:type="dxa"/>
            <w:tcBorders>
              <w:bottom w:val="single" w:sz="8" w:space="0" w:color="000000"/>
            </w:tcBorders>
            <w:shd w:fill="CCEEFF" w:val="clear"/>
            <w:tcMar>
              <w:top w:w="0" w:type="dxa"/>
              <w:left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26,969</w:t>
            </w:r>
          </w:p>
        </w:tc>
        <w:tc>
          <w:tcPr>
            <w:tcW w:w="60" w:type="dxa"/>
            <w:tcBorders>
              <w:bottom w:val="single" w:sz="8" w:space="0" w:color="000000"/>
            </w:tcBorders>
            <w:shd w:fill="CCEEFF" w:val="clear"/>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bottom w:val="single" w:sz="8" w:space="0" w:color="000000"/>
            </w:tcBorders>
            <w:shd w:fill="CCEEFF" w:val="clear"/>
            <w:tcMar>
              <w:top w:w="0" w:type="dxa"/>
              <w:left w:w="28"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bottom w:val="single" w:sz="8" w:space="0" w:color="000000"/>
            </w:tcBorders>
            <w:shd w:fill="CCEEFF" w:val="clear"/>
            <w:tcMar>
              <w:top w:w="0" w:type="dxa"/>
              <w:left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423,779</w:t>
            </w:r>
          </w:p>
        </w:tc>
        <w:tc>
          <w:tcPr>
            <w:tcW w:w="75" w:type="dxa"/>
            <w:tcBorders>
              <w:bottom w:val="single" w:sz="8" w:space="0" w:color="000000"/>
              <w:right w:val="single" w:sz="8" w:space="0" w:color="000000"/>
            </w:tcBorders>
            <w:shd w:fill="CCEEFF" w:val="clear"/>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3200" w:type="dxa"/>
            <w:tcBorders>
              <w:left w:val="single" w:sz="8" w:space="0" w:color="000000"/>
            </w:tcBorders>
            <w:shd w:fill="FFFFFF" w:val="clear"/>
            <w:tcMar>
              <w:top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Kevin Cureton Chief Executive Officer</w:t>
            </w:r>
          </w:p>
        </w:tc>
        <w:tc>
          <w:tcPr>
            <w:tcW w:w="60" w:type="dxa"/>
            <w:tcBorders>
              <w:right w:val="single" w:sz="8" w:space="0" w:color="000000"/>
            </w:tcBorders>
            <w:shd w:fill="FFFFFF" w:val="clear"/>
            <w:tcMar>
              <w:top w:w="0" w:type="dxa"/>
              <w:left w:w="0" w:type="dxa"/>
              <w:bottom w:w="0" w:type="dxa"/>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top w:w="0" w:type="dxa"/>
              <w:left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FFFFFF" w:val="clear"/>
            <w:tcMar>
              <w:top w:w="0" w:type="dxa"/>
              <w:left w:w="0" w:type="dxa"/>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w:t>
            </w:r>
          </w:p>
        </w:tc>
        <w:tc>
          <w:tcPr>
            <w:tcW w:w="60" w:type="dxa"/>
            <w:tcBorders>
              <w:right w:val="single" w:sz="8" w:space="0" w:color="000000"/>
            </w:tcBorders>
            <w:shd w:fill="FFFFFF" w:val="clear"/>
            <w:tcMar>
              <w:top w:w="0" w:type="dxa"/>
              <w:left w:w="0" w:type="dxa"/>
              <w:bottom w:w="0" w:type="dxa"/>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top w:w="0" w:type="dxa"/>
              <w:left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top w:w="0" w:type="dxa"/>
              <w:left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FFFFFF" w:val="clear"/>
            <w:tcMar>
              <w:top w:w="0" w:type="dxa"/>
              <w:left w:w="0" w:type="dxa"/>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334,251</w:t>
            </w:r>
          </w:p>
        </w:tc>
        <w:tc>
          <w:tcPr>
            <w:tcW w:w="60" w:type="dxa"/>
            <w:tcBorders>
              <w:right w:val="single" w:sz="8" w:space="0" w:color="000000"/>
            </w:tcBorders>
            <w:shd w:fill="FFFFFF" w:val="clear"/>
            <w:tcMar>
              <w:top w:w="0" w:type="dxa"/>
              <w:left w:w="0" w:type="dxa"/>
              <w:bottom w:w="0" w:type="dxa"/>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top w:w="0" w:type="dxa"/>
              <w:left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top w:w="0" w:type="dxa"/>
              <w:left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FFFFFF" w:val="clear"/>
            <w:tcMar>
              <w:top w:w="0" w:type="dxa"/>
              <w:left w:w="0" w:type="dxa"/>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111,016</w:t>
            </w:r>
          </w:p>
        </w:tc>
        <w:tc>
          <w:tcPr>
            <w:tcW w:w="60" w:type="dxa"/>
            <w:tcBorders/>
            <w:shd w:fill="FFFFFF" w:val="clear"/>
            <w:tcMar>
              <w:top w:w="0" w:type="dxa"/>
              <w:left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shd w:fill="FFFFFF" w:val="clear"/>
            <w:tcMar>
              <w:top w:w="0" w:type="dxa"/>
              <w:left w:w="28"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top w:w="0" w:type="dxa"/>
              <w:left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FFFFFF" w:val="clear"/>
            <w:tcMar>
              <w:top w:w="0" w:type="dxa"/>
              <w:left w:w="0" w:type="dxa"/>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tcMar>
              <w:top w:w="0" w:type="dxa"/>
              <w:left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shd w:fill="FFFFFF" w:val="clear"/>
            <w:tcMar>
              <w:top w:w="0" w:type="dxa"/>
              <w:left w:w="28"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316" w:type="dxa"/>
            <w:tcBorders/>
            <w:shd w:fill="FFFFFF" w:val="clear"/>
            <w:tcMar>
              <w:top w:w="0" w:type="dxa"/>
              <w:left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03" w:type="dxa"/>
            <w:tcBorders/>
            <w:shd w:fill="FFFFFF" w:val="clear"/>
            <w:tcMar>
              <w:top w:w="0" w:type="dxa"/>
              <w:left w:w="0" w:type="dxa"/>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23,424</w:t>
            </w:r>
          </w:p>
        </w:tc>
        <w:tc>
          <w:tcPr>
            <w:tcW w:w="60" w:type="dxa"/>
            <w:tcBorders/>
            <w:shd w:fill="FFFFFF" w:val="clear"/>
            <w:tcMar>
              <w:top w:w="0" w:type="dxa"/>
              <w:left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shd w:fill="FFFFFF" w:val="clear"/>
            <w:tcMar>
              <w:top w:w="0" w:type="dxa"/>
              <w:left w:w="28"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top w:w="0" w:type="dxa"/>
              <w:left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FFFFFF" w:val="clear"/>
            <w:tcMar>
              <w:top w:w="0" w:type="dxa"/>
              <w:left w:w="0" w:type="dxa"/>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468,691</w:t>
            </w:r>
          </w:p>
        </w:tc>
        <w:tc>
          <w:tcPr>
            <w:tcW w:w="75" w:type="dxa"/>
            <w:tcBorders>
              <w:right w:val="single" w:sz="8" w:space="0" w:color="000000"/>
            </w:tcBorders>
            <w:shd w:fill="FFFFFF" w:val="clear"/>
            <w:tcMar>
              <w:top w:w="0" w:type="dxa"/>
              <w:left w:w="0" w:type="dxa"/>
              <w:bottom w:w="0" w:type="dxa"/>
              <w:right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3200" w:type="dxa"/>
            <w:tcBorders>
              <w:left w:val="single" w:sz="8" w:space="0" w:color="000000"/>
              <w:bottom w:val="single" w:sz="8"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Operating Officer</w:t>
            </w:r>
          </w:p>
        </w:tc>
        <w:tc>
          <w:tcPr>
            <w:tcW w:w="6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c>
          <w:tcPr>
            <w:tcW w:w="440" w:type="dxa"/>
            <w:tcBorders>
              <w:bottom w:val="single" w:sz="8" w:space="0" w:color="000000"/>
            </w:tcBorders>
            <w:tcMar>
              <w:top w:w="0" w:type="dxa"/>
              <w:left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2024</w:t>
            </w:r>
          </w:p>
        </w:tc>
        <w:tc>
          <w:tcPr>
            <w:tcW w:w="6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bottom w:val="single" w:sz="8" w:space="0" w:color="000000"/>
            </w:tcBorders>
            <w:tcMar>
              <w:top w:w="0" w:type="dxa"/>
              <w:left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309,256</w:t>
            </w:r>
          </w:p>
        </w:tc>
        <w:tc>
          <w:tcPr>
            <w:tcW w:w="6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bottom w:val="single" w:sz="8" w:space="0" w:color="000000"/>
            </w:tcBorders>
            <w:tcMar>
              <w:top w:w="0" w:type="dxa"/>
              <w:left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bottom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bottom w:val="single" w:sz="8" w:space="0" w:color="000000"/>
            </w:tcBorders>
            <w:tcMar>
              <w:top w:w="0" w:type="dxa"/>
              <w:left w:w="28"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bottom w:val="single" w:sz="8" w:space="0" w:color="000000"/>
            </w:tcBorders>
            <w:tcMar>
              <w:top w:w="0" w:type="dxa"/>
              <w:left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39,738</w:t>
            </w:r>
          </w:p>
        </w:tc>
        <w:tc>
          <w:tcPr>
            <w:tcW w:w="60" w:type="dxa"/>
            <w:tcBorders>
              <w:bottom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bottom w:val="single" w:sz="8" w:space="0" w:color="000000"/>
            </w:tcBorders>
            <w:tcMar>
              <w:top w:w="0" w:type="dxa"/>
              <w:left w:w="28" w:type="dxa"/>
            </w:tcMar>
            <w:vAlign w:val="center"/>
          </w:tcPr>
          <w:p>
            <w:pPr>
              <w:pStyle w:val="TableContents"/>
              <w:bidi w:val="0"/>
              <w:spacing w:before="0" w:after="283"/>
              <w:jc w:val="left"/>
              <w:rPr>
                <w:caps w:val="false"/>
                <w:smallCaps w:val="false"/>
              </w:rPr>
            </w:pPr>
            <w:r>
              <w:rPr>
                <w:caps w:val="false"/>
                <w:smallCaps w:val="false"/>
              </w:rPr>
              <w:t> </w:t>
            </w:r>
          </w:p>
        </w:tc>
        <w:tc>
          <w:tcPr>
            <w:tcW w:w="316" w:type="dxa"/>
            <w:tcBorders>
              <w:bottom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03" w:type="dxa"/>
            <w:tcBorders>
              <w:bottom w:val="single" w:sz="8" w:space="0" w:color="000000"/>
            </w:tcBorders>
            <w:tcMar>
              <w:top w:w="0" w:type="dxa"/>
              <w:left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21,299</w:t>
            </w:r>
          </w:p>
        </w:tc>
        <w:tc>
          <w:tcPr>
            <w:tcW w:w="60" w:type="dxa"/>
            <w:tcBorders>
              <w:bottom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bottom w:val="single" w:sz="8" w:space="0" w:color="000000"/>
            </w:tcBorders>
            <w:tcMar>
              <w:top w:w="0" w:type="dxa"/>
              <w:left w:w="28"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bottom w:val="single" w:sz="8" w:space="0" w:color="000000"/>
            </w:tcBorders>
            <w:tcMar>
              <w:top w:w="0" w:type="dxa"/>
              <w:left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370,293</w:t>
            </w:r>
          </w:p>
        </w:tc>
        <w:tc>
          <w:tcPr>
            <w:tcW w:w="75"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3200" w:type="dxa"/>
            <w:tcBorders>
              <w:left w:val="single" w:sz="8" w:space="0" w:color="000000"/>
            </w:tcBorders>
            <w:shd w:fill="CCEEFF" w:val="clear"/>
            <w:tcMar>
              <w:top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Laura Riffner</w:t>
            </w:r>
          </w:p>
        </w:tc>
        <w:tc>
          <w:tcPr>
            <w:tcW w:w="60" w:type="dxa"/>
            <w:tcBorders>
              <w:right w:val="single" w:sz="8" w:space="0" w:color="000000"/>
            </w:tcBorders>
            <w:shd w:fill="CCEEFF" w:val="clear"/>
            <w:tcMar>
              <w:top w:w="0" w:type="dxa"/>
              <w:left w:w="0" w:type="dxa"/>
              <w:bottom w:w="0" w:type="dxa"/>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top w:w="0" w:type="dxa"/>
              <w:left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CCEEFF" w:val="clear"/>
            <w:tcMar>
              <w:top w:w="0" w:type="dxa"/>
              <w:left w:w="0" w:type="dxa"/>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w:t>
            </w:r>
          </w:p>
        </w:tc>
        <w:tc>
          <w:tcPr>
            <w:tcW w:w="60" w:type="dxa"/>
            <w:tcBorders>
              <w:right w:val="single" w:sz="8" w:space="0" w:color="000000"/>
            </w:tcBorders>
            <w:shd w:fill="CCEEFF" w:val="clear"/>
            <w:tcMar>
              <w:top w:w="0" w:type="dxa"/>
              <w:left w:w="0" w:type="dxa"/>
              <w:bottom w:w="0" w:type="dxa"/>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top w:w="0" w:type="dxa"/>
              <w:left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top w:w="0" w:type="dxa"/>
              <w:left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CCEEFF" w:val="clear"/>
            <w:tcMar>
              <w:top w:w="0" w:type="dxa"/>
              <w:left w:w="0" w:type="dxa"/>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81,666</w:t>
            </w:r>
          </w:p>
        </w:tc>
        <w:tc>
          <w:tcPr>
            <w:tcW w:w="60" w:type="dxa"/>
            <w:tcBorders>
              <w:right w:val="single" w:sz="8" w:space="0" w:color="000000"/>
            </w:tcBorders>
            <w:shd w:fill="CCEEFF" w:val="clear"/>
            <w:tcMar>
              <w:top w:w="0" w:type="dxa"/>
              <w:left w:w="0" w:type="dxa"/>
              <w:bottom w:w="0" w:type="dxa"/>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top w:w="0" w:type="dxa"/>
              <w:left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top w:w="0" w:type="dxa"/>
              <w:left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CCEEFF" w:val="clear"/>
            <w:tcMar>
              <w:top w:w="0" w:type="dxa"/>
              <w:left w:w="0" w:type="dxa"/>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tcMar>
              <w:top w:w="0" w:type="dxa"/>
              <w:left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shd w:fill="CCEEFF" w:val="clear"/>
            <w:tcMar>
              <w:top w:w="0" w:type="dxa"/>
              <w:left w:w="28"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top w:w="0" w:type="dxa"/>
              <w:left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CCEEFF" w:val="clear"/>
            <w:tcMar>
              <w:top w:w="0" w:type="dxa"/>
              <w:left w:w="0" w:type="dxa"/>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150,711</w:t>
            </w:r>
          </w:p>
        </w:tc>
        <w:tc>
          <w:tcPr>
            <w:tcW w:w="60" w:type="dxa"/>
            <w:tcBorders/>
            <w:shd w:fill="CCEEFF" w:val="clear"/>
            <w:tcMar>
              <w:top w:w="0" w:type="dxa"/>
              <w:left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shd w:fill="CCEEFF" w:val="clear"/>
            <w:tcMar>
              <w:top w:w="0" w:type="dxa"/>
              <w:left w:w="28"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316" w:type="dxa"/>
            <w:tcBorders/>
            <w:shd w:fill="CCEEFF" w:val="clear"/>
            <w:tcMar>
              <w:top w:w="0" w:type="dxa"/>
              <w:left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03" w:type="dxa"/>
            <w:tcBorders/>
            <w:shd w:fill="CCEEFF" w:val="clear"/>
            <w:tcMar>
              <w:top w:w="0" w:type="dxa"/>
              <w:left w:w="0" w:type="dxa"/>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4,465</w:t>
            </w:r>
          </w:p>
        </w:tc>
        <w:tc>
          <w:tcPr>
            <w:tcW w:w="60" w:type="dxa"/>
            <w:tcBorders/>
            <w:shd w:fill="CCEEFF" w:val="clear"/>
            <w:tcMar>
              <w:top w:w="0" w:type="dxa"/>
              <w:left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shd w:fill="CCEEFF" w:val="clear"/>
            <w:tcMar>
              <w:top w:w="0" w:type="dxa"/>
              <w:left w:w="28"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top w:w="0" w:type="dxa"/>
              <w:left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CCEEFF" w:val="clear"/>
            <w:tcMar>
              <w:top w:w="0" w:type="dxa"/>
              <w:left w:w="0" w:type="dxa"/>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236,842</w:t>
            </w:r>
          </w:p>
        </w:tc>
        <w:tc>
          <w:tcPr>
            <w:tcW w:w="75" w:type="dxa"/>
            <w:tcBorders>
              <w:right w:val="single" w:sz="8" w:space="0" w:color="000000"/>
            </w:tcBorders>
            <w:shd w:fill="CCEEFF" w:val="clear"/>
            <w:tcMar>
              <w:top w:w="0" w:type="dxa"/>
              <w:left w:w="0" w:type="dxa"/>
              <w:bottom w:w="0" w:type="dxa"/>
              <w:right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3200" w:type="dxa"/>
            <w:tcBorders>
              <w:left w:val="single" w:sz="8" w:space="0" w:color="000000"/>
              <w:bottom w:val="single" w:sz="8" w:space="0" w:color="000000"/>
            </w:tcBorders>
            <w:shd w:fill="CCEE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c>
          <w:tcPr>
            <w:tcW w:w="60" w:type="dxa"/>
            <w:tcBorders>
              <w:bottom w:val="single" w:sz="8" w:space="0" w:color="000000"/>
              <w:right w:val="single" w:sz="8" w:space="0" w:color="000000"/>
            </w:tcBorders>
            <w:shd w:fill="CCEEFF" w:val="clear"/>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c>
          <w:tcPr>
            <w:tcW w:w="440" w:type="dxa"/>
            <w:tcBorders>
              <w:bottom w:val="single" w:sz="8" w:space="0" w:color="000000"/>
            </w:tcBorders>
            <w:shd w:fill="CCEEFF" w:val="clear"/>
            <w:tcMar>
              <w:top w:w="0" w:type="dxa"/>
              <w:left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2024</w:t>
            </w:r>
          </w:p>
        </w:tc>
        <w:tc>
          <w:tcPr>
            <w:tcW w:w="60" w:type="dxa"/>
            <w:tcBorders>
              <w:bottom w:val="single" w:sz="8" w:space="0" w:color="000000"/>
              <w:right w:val="single" w:sz="8" w:space="0" w:color="000000"/>
            </w:tcBorders>
            <w:shd w:fill="CCEEFF" w:val="clear"/>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bottom w:val="single" w:sz="8" w:space="0" w:color="000000"/>
            </w:tcBorders>
            <w:shd w:fill="CCEEFF" w:val="clear"/>
            <w:tcMar>
              <w:top w:w="0" w:type="dxa"/>
              <w:left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bottom w:val="single" w:sz="8" w:space="0" w:color="000000"/>
              <w:right w:val="single" w:sz="8" w:space="0" w:color="000000"/>
            </w:tcBorders>
            <w:shd w:fill="CCEEFF" w:val="clear"/>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bottom w:val="single" w:sz="8" w:space="0" w:color="000000"/>
            </w:tcBorders>
            <w:shd w:fill="CCEEFF" w:val="clear"/>
            <w:tcMar>
              <w:top w:w="0" w:type="dxa"/>
              <w:left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bottom w:val="single" w:sz="8" w:space="0" w:color="000000"/>
            </w:tcBorders>
            <w:shd w:fill="CCEEFF" w:val="clear"/>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bottom w:val="single" w:sz="8" w:space="0" w:color="000000"/>
            </w:tcBorders>
            <w:shd w:fill="CCEEFF" w:val="clear"/>
            <w:tcMar>
              <w:top w:w="0" w:type="dxa"/>
              <w:left w:w="28"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bottom w:val="single" w:sz="8" w:space="0" w:color="000000"/>
            </w:tcBorders>
            <w:shd w:fill="CCEEFF" w:val="clear"/>
            <w:tcMar>
              <w:top w:w="0" w:type="dxa"/>
              <w:left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bottom w:val="single" w:sz="8" w:space="0" w:color="000000"/>
            </w:tcBorders>
            <w:shd w:fill="CCEEFF" w:val="clear"/>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bottom w:val="single" w:sz="8" w:space="0" w:color="000000"/>
            </w:tcBorders>
            <w:shd w:fill="CCEEFF" w:val="clear"/>
            <w:tcMar>
              <w:top w:w="0" w:type="dxa"/>
              <w:left w:w="28" w:type="dxa"/>
            </w:tcMar>
            <w:vAlign w:val="center"/>
          </w:tcPr>
          <w:p>
            <w:pPr>
              <w:pStyle w:val="TableContents"/>
              <w:bidi w:val="0"/>
              <w:spacing w:before="0" w:after="283"/>
              <w:jc w:val="left"/>
              <w:rPr>
                <w:caps w:val="false"/>
                <w:smallCaps w:val="false"/>
              </w:rPr>
            </w:pPr>
            <w:r>
              <w:rPr>
                <w:caps w:val="false"/>
                <w:smallCaps w:val="false"/>
              </w:rPr>
              <w:t> </w:t>
            </w:r>
          </w:p>
        </w:tc>
        <w:tc>
          <w:tcPr>
            <w:tcW w:w="316" w:type="dxa"/>
            <w:tcBorders>
              <w:bottom w:val="single" w:sz="8" w:space="0" w:color="000000"/>
            </w:tcBorders>
            <w:shd w:fill="CCEEFF" w:val="clear"/>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03" w:type="dxa"/>
            <w:tcBorders>
              <w:bottom w:val="single" w:sz="8" w:space="0" w:color="000000"/>
            </w:tcBorders>
            <w:shd w:fill="CCEEFF" w:val="clear"/>
            <w:tcMar>
              <w:top w:w="0" w:type="dxa"/>
              <w:left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bottom w:val="single" w:sz="8" w:space="0" w:color="000000"/>
            </w:tcBorders>
            <w:shd w:fill="CCEEFF" w:val="clear"/>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bottom w:val="single" w:sz="8" w:space="0" w:color="000000"/>
            </w:tcBorders>
            <w:shd w:fill="CCEEFF" w:val="clear"/>
            <w:tcMar>
              <w:top w:w="0" w:type="dxa"/>
              <w:left w:w="28"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bottom w:val="single" w:sz="8" w:space="0" w:color="000000"/>
            </w:tcBorders>
            <w:shd w:fill="CCEEFF" w:val="clear"/>
            <w:tcMar>
              <w:top w:w="0" w:type="dxa"/>
              <w:left w:w="0" w:type="dxa"/>
            </w:tcMar>
            <w:vAlign w:val="center"/>
          </w:tcPr>
          <w:p>
            <w:pPr>
              <w:pStyle w:val="TableContents"/>
              <w:bidi w:val="0"/>
              <w:spacing w:before="0" w:after="283"/>
              <w:jc w:val="right"/>
              <w:rPr>
                <w:caps w:val="false"/>
                <w:smallCaps w:val="false"/>
              </w:rPr>
            </w:pPr>
            <w:r>
              <w:rPr>
                <w:caps w:val="false"/>
                <w:smallCaps w:val="false"/>
              </w:rPr>
              <w:t>—</w:t>
            </w:r>
          </w:p>
        </w:tc>
        <w:tc>
          <w:tcPr>
            <w:tcW w:w="75" w:type="dxa"/>
            <w:tcBorders>
              <w:bottom w:val="single" w:sz="8" w:space="0" w:color="000000"/>
              <w:right w:val="single" w:sz="8" w:space="0" w:color="000000"/>
            </w:tcBorders>
            <w:shd w:fill="CCEEFF" w:val="clear"/>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18</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amounts earned during 2025 and 2024 would typically have been paid in early-to-mid 2026 and 2025, respectively. Bonus compensation is driven by Company performance against its goals as ultimately determined by the Compensation Committee of the Board of Directors (“Compensation Committee”). A set of Company-level objectives is created at the beginning of the year, focusing on total revenue, revenue growth, particular sources of revenue growth, business development achievements, cash flows and related targets, as well as a small discretionary component designed to capture items not specifically listed. Each measure has varying levels of achievement, which is reflected in the aggregate bonus measurement. The resulting bonus calculation is then applied to each individual’s bonus potential as a percentage of salary. Performance milestones were not achieved in 2025 and related bonuses will not be paid.  Performance milestones were achieved in 2024 and related bonuses were paid in 2025. </w:t>
            </w:r>
          </w:p>
        </w:tc>
      </w:tr>
    </w:tbl>
    <w:tbl>
      <w:tblPr>
        <w:tblW w:w="10205" w:type="dxa"/>
        <w:jc w:val="left"/>
        <w:tblInd w:w="0" w:type="dxa"/>
        <w:tblLayout w:type="fixed"/>
        <w:tblCellMar>
          <w:top w:w="0" w:type="dxa"/>
          <w:left w:w="0" w:type="dxa"/>
          <w:bottom w:w="0" w:type="dxa"/>
          <w:right w:w="0" w:type="dxa"/>
        </w:tblCellMar>
      </w:tblPr>
      <w:tblGrid>
        <w:gridCol w:w="220"/>
        <w:gridCol w:w="9985"/>
      </w:tblGrid>
      <w:tr>
        <w:trPr/>
        <w:tc>
          <w:tcPr>
            <w:tcW w:w="2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amounts in this column represent the aggregate grant date fair value of awards granted in 2025 and 2024 in accordance with FASB ASC Topic 718. See Note 10 of the notes to our financial statements contained elsewhere in this Form 10-K for a discussion of all assumptions made by us in determining the FASB ASC Topic 718 values.</w:t>
            </w:r>
          </w:p>
        </w:tc>
      </w:tr>
    </w:tbl>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amounts in this column represent 401(k) match (total for executive officers of $16,863 during 2025 and $14,305 during 2024), and the value of the Company portion of the health and life insurance including employer HSA contributions. Health insurance benefits are the same for all employees. Life insurance is provided to all employees in the amount of the employee’s annual base salary, capped at a maximum of $150,000.</w:t>
            </w:r>
          </w:p>
        </w:tc>
      </w:tr>
      <w:tr>
        <w:trPr/>
        <w:tc>
          <w:tcPr>
            <w:tcW w:w="2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Jankowski retired effective November 21, 2025.  </w:t>
            </w:r>
          </w:p>
        </w:tc>
      </w:tr>
    </w:tbl>
    <w:tbl>
      <w:tblPr>
        <w:tblW w:w="150" w:type="dxa"/>
        <w:jc w:val="left"/>
        <w:tblInd w:w="0" w:type="dxa"/>
        <w:tblLayout w:type="fixed"/>
        <w:tblCellMar>
          <w:top w:w="0" w:type="dxa"/>
          <w:left w:w="0" w:type="dxa"/>
          <w:bottom w:w="0" w:type="dxa"/>
          <w:right w:w="0" w:type="dxa"/>
        </w:tblCellMar>
      </w:tblPr>
      <w:tblGrid>
        <w:gridCol w:w="75"/>
        <w:gridCol w:w="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bl>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Employment Agreements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as of August 12, 2009, we entered into an employment agreement with Jess Jankowski in connection with his services as President and Chief Executive Officer. No term had been assigned to Mr. Jankowski’s employment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of his employment agreement, Mr. Jankowski was receive an annual base salary of not less than $275,000. In addition, Mr. Jankowski was be eligible for discretionary bonuses for services to be performed as an executive officer of the Company based on performance and achieving milestones approved by our Board of Directors (the “Board”).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Jankowski was eligible for such stock options and other equity compensation as the Board deems appropriate, subject to the provisions of the 2019 Equity Compensation Plan. Mr. Jankowski was also entitled to the employee benefits made available by us generally to all of our other executive officers, subject to the terms and conditions of our employee benefit plan in effect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Mr. Jankowski’s employment was terminated other than for “cause” (as such term was defined in the employment agreement), Mr. Jankowski would have receive a sum equal to Mr. Jankowski’s base salary in effect at the time of termination for 52 full weeks after the effective date of termination, payable in proportionate amounts on our regular pay cycle for professional employees, provided that Mr. Jankowski signed, without subsequent revocation, a separation agreement and release in a form acceptable to us. In addition, all stock options granted to Mr. Jankowski prior to termination would become fully vested and exercisable in accordance with the applicable option grant agreement and the 2019 Equity Compensation. If he was terminated for cause, or if he resigned as an employee of the Company, Mr. Jankowski would not be entitled to any severance or other benefits accruing after the term of the employment agreement and such rights will be forfeited immediately upon the end of such term.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within two years after the occurrence of a change in control, as defined in his employment agreement, Mr. Jankowski’s employment was terminated other than for cause, his responsibilities or annual compensation are materially reduced without his prior consent, or we cease to be publicly held (each, a “Trigger”), then, subject to Mr. Jankowski signing, without subsequently revoking, a separation agreement and release in a form acceptable to us, Mr. Jankowski would have receive a sum equal to his base salary for 104 full weeks after the date the Trigger occurs. In addition, all stock options granted to Mr. Jankowski prior to the Trigger would become fully vested and exercisable in accordance with the applicable option grant agreement and the 2019 Equity Compensation Plan.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Mr. Jankowski’s resignation effective November 21, 2025, we entered into a Separation Agreement and General Release of All Claims, effective as of December 2, 2025, with Mr. Jankowski (the “Separation Agreement”). Pursuant to the Separation Agreement, Mr. Jankowski will receive severance pay in the aggregate gross amount of $366,912. Mr. Jankowski will also receive accelerated vesting of all outstanding options previously granted to Mr. Jankowski. Furthermore, during the period severance will be paid, the Company will pay the monthly insurance premiums for Mr. Jankowski’s participation in the Company’s group health insurance plan through COBRA. In consideration of these and other benefits provided under the Separation Agreement, Mr. Jankowski agreed to release any and all claims against the Company and its representatives and confirmed his continuing obligations to the Company including compliance with certain restrictive covenants and assisting the Company, at its request, in certain potential disputes.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as of September 3, 2025, we entered into an employment agreement with Kevin Cureton in connection with his services as President and Chief Executive Officer. No term has been assigned to Mr. Cureton’s employment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19</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of his employment agreement, Mr. Cureton will receive an annual base salary of not less than $367,000. In addition, Mr. Cureton will be eligible for discretionary bonuses for services to be performed as an executive officer of the Company based on performance and achieving milestones approved by our Board of Directors (the “Board”).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Cureton will be eligible for such stock options and other equity compensation as the Board deems appropriate, subject to the provisions of the 2019 Equity Compensation Plan and the 2025 Equity Compensation Plan. Mr. Cureton will also be entitled to the employee benefits made available by us generally to all of our other executive officers, subject to the terms and conditions of our employee benefit plan in effect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Mr. Cureton’s employment is terminated other than for “cause” (as such term is defined in the employment agreement), Mr. Cureton will receive a sum equal to Mr. Cureton’s base salary in effect at the time of termination for 52 full weeks after the effective date of termination, payable in proportionate amounts on our regular pay cycle for professional employees, provided that Mr. Cureton signs, without subsequent revocation, a separation agreement and release in a form acceptable to us. In addition, all stock options granted to Mr. Cureton prior to termination will become fully vested and exercisable in accordance with the applicable option grant agreement the 2010 Equity Compensation, the 2019 Equity Compensation Plan, and the 2025 Equity Compensation Plan. If he is terminated for cause, or if he resigns as an employee of the Company, Mr. Cureton will not be entitled to any severance or other benefits accruing after the term of the employment agreement and such rights will be forfeited immediately upon the end of such term.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Effective as of September 3, 2025, we entered into an employment agreement with Ms. Laura Riffner providing for an annual base salary of not less than $270,000. No term has been assigned to Ms. Riffner’s employment agreement. If Ms. Riffner is terminated other than for “cause” (as such term is defined in Ms. Riffner’s employment agreement), after December 3, 2025 but before December 3, 2026 then, subject to Ms. Riffner signing, without revoking, a separation agreement and release in a form acceptable to us, Ms. Riffner will receive severance benefits in an amount equal to Ms. Riffner’s base salary for 26 weeks. After December 3, 2026</w:t>
      </w:r>
      <w:r>
        <w:rPr>
          <w:rFonts w:ascii="Times New Roman;Times;Serif" w:hAnsi="Times New Roman;Times;Serif"/>
          <w:b/>
          <w:i w:val="false"/>
          <w:caps w:val="false"/>
          <w:smallCaps w:val="false"/>
          <w:sz w:val="20"/>
        </w:rPr>
        <w:t>, </w:t>
      </w:r>
      <w:r>
        <w:rPr>
          <w:rFonts w:ascii="Times New Roman;Times;Serif" w:hAnsi="Times New Roman;Times;Serif"/>
          <w:b w:val="false"/>
          <w:i w:val="false"/>
          <w:caps w:val="false"/>
          <w:smallCaps w:val="false"/>
          <w:sz w:val="20"/>
        </w:rPr>
        <w:t>notice pay will be reduced to 13 weeks</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In addition, upon termination without cause, all stock options granted to Ms. Riffner prior to termination will become fully vested and exercisable in accordance with the applicable option grant agreement and the 2025 Equity Compensation Plan. If she is terminated for cause or if she resigns as an employee of the Company, Ms. Riffner will not be entitled to any severance or other benefits accruing after the term of the employment agreement and such rights will be forfeit immediately upon the end of the term.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OUTSTANDING EQUITY AWARDS AT YEAR-END</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regarding each unexercised option held by each of our named executive officers as of December 31, 2025.</w:t>
      </w:r>
    </w:p>
    <w:p>
      <w:pPr>
        <w:pStyle w:val="TextBody"/>
        <w:bidi w:val="0"/>
        <w:spacing w:before="0" w:after="0"/>
        <w:ind w:left="648"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60"/>
        <w:gridCol w:w="289"/>
        <w:gridCol w:w="293"/>
        <w:gridCol w:w="60"/>
        <w:gridCol w:w="992"/>
        <w:gridCol w:w="994"/>
        <w:gridCol w:w="60"/>
        <w:gridCol w:w="60"/>
        <w:gridCol w:w="1091"/>
        <w:gridCol w:w="1091"/>
        <w:gridCol w:w="179"/>
        <w:gridCol w:w="60"/>
        <w:gridCol w:w="60"/>
        <w:gridCol w:w="237"/>
        <w:gridCol w:w="726"/>
        <w:gridCol w:w="60"/>
        <w:gridCol w:w="60"/>
        <w:gridCol w:w="60"/>
        <w:gridCol w:w="554"/>
        <w:gridCol w:w="554"/>
        <w:gridCol w:w="60"/>
        <w:gridCol w:w="60"/>
        <w:gridCol w:w="755"/>
        <w:gridCol w:w="60"/>
        <w:gridCol w:w="60"/>
        <w:gridCol w:w="1288"/>
        <w:gridCol w:w="82"/>
      </w:tblGrid>
      <w:tr>
        <w:trPr/>
        <w:tc>
          <w:tcPr>
            <w:tcW w:w="942" w:type="dxa"/>
            <w:gridSpan w:val="3"/>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838" w:type="dxa"/>
            <w:gridSpan w:val="1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Option Awards</w:t>
            </w:r>
            <w:r>
              <w:rPr>
                <w:rFonts w:ascii="Times New Roman;Times;Serif" w:hAnsi="Times New Roman;Times;Serif"/>
                <w:b w:val="false"/>
                <w:i w:val="false"/>
                <w:caps w:val="false"/>
                <w:smallCaps w:val="false"/>
                <w:sz w:val="20"/>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163" w:type="dxa"/>
            <w:gridSpan w:val="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Awards</w:t>
            </w:r>
          </w:p>
        </w:tc>
        <w:tc>
          <w:tcPr>
            <w:tcW w:w="8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942" w:type="dxa"/>
            <w:gridSpan w:val="3"/>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98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Securities Underlying Unexercised Options (#) Exercisable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18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Securities Underlying Unexercised Options (#) Unexercisable</w:t>
            </w:r>
          </w:p>
        </w:tc>
        <w:tc>
          <w:tcPr>
            <w:tcW w:w="179" w:type="dxa"/>
            <w:tcBorders/>
            <w:vAlign w:val="center"/>
          </w:tcPr>
          <w:p>
            <w:pPr>
              <w:pStyle w:val="TableContents"/>
              <w:bidi w:val="0"/>
              <w:spacing w:before="0" w:after="283"/>
              <w:jc w:val="center"/>
              <w:rPr>
                <w:caps w:val="false"/>
                <w:smallCaps w:val="false"/>
              </w:rPr>
            </w:pPr>
            <w:r>
              <w:rPr>
                <w:caps w:val="false"/>
                <w:smallCaps w:val="false"/>
              </w:rPr>
              <w:t> </w:t>
            </w:r>
          </w:p>
        </w:tc>
        <w:tc>
          <w:tcPr>
            <w:tcW w:w="120"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96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 Exercise Price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0"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110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 Expiration Date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5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Number</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of Shares of</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Stock</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That Have</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Not</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Vested</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88"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 Value of Shares of Stock That Have Not Vested ($)</w:t>
            </w:r>
          </w:p>
        </w:tc>
        <w:tc>
          <w:tcPr>
            <w:tcW w:w="8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942"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Jess Jankowski</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86" w:type="dxa"/>
            <w:gridSpan w:val="2"/>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82" w:type="dxa"/>
            <w:gridSpan w:val="2"/>
            <w:tcBorders/>
            <w:vAlign w:val="center"/>
          </w:tcPr>
          <w:p>
            <w:pPr>
              <w:pStyle w:val="TableContents"/>
              <w:bidi w:val="0"/>
              <w:spacing w:before="0" w:after="283"/>
              <w:jc w:val="right"/>
              <w:rPr>
                <w:caps w:val="false"/>
                <w:smallCaps w:val="false"/>
              </w:rPr>
            </w:pPr>
            <w:r>
              <w:rPr>
                <w:caps w:val="false"/>
                <w:smallCaps w:val="false"/>
              </w:rPr>
              <w:t> </w:t>
            </w:r>
          </w:p>
        </w:tc>
        <w:tc>
          <w:tcPr>
            <w:tcW w:w="179" w:type="dxa"/>
            <w:tcBorders/>
            <w:vAlign w:val="center"/>
          </w:tcPr>
          <w:p>
            <w:pPr>
              <w:pStyle w:val="TableContents"/>
              <w:bidi w:val="0"/>
              <w:spacing w:before="0" w:after="283"/>
              <w:jc w:val="left"/>
              <w:rPr>
                <w:caps w:val="false"/>
                <w:smallCaps w:val="false"/>
              </w:rPr>
            </w:pPr>
            <w:r>
              <w:rPr>
                <w:caps w:val="false"/>
                <w:smallCaps w:val="false"/>
              </w:rPr>
              <w:t> </w:t>
            </w:r>
          </w:p>
        </w:tc>
        <w:tc>
          <w:tcPr>
            <w:tcW w:w="12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237" w:type="dxa"/>
            <w:tcBorders/>
            <w:vAlign w:val="center"/>
          </w:tcPr>
          <w:p>
            <w:pPr>
              <w:pStyle w:val="TableContents"/>
              <w:bidi w:val="0"/>
              <w:spacing w:before="0" w:after="283"/>
              <w:jc w:val="left"/>
              <w:rPr>
                <w:caps w:val="false"/>
                <w:smallCaps w:val="false"/>
              </w:rPr>
            </w:pPr>
            <w:r>
              <w:rPr>
                <w:caps w:val="false"/>
                <w:smallCaps w:val="false"/>
              </w:rPr>
              <w:t> </w:t>
            </w:r>
          </w:p>
        </w:tc>
        <w:tc>
          <w:tcPr>
            <w:tcW w:w="726"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1108" w:type="dxa"/>
            <w:gridSpan w:val="2"/>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88" w:type="dxa"/>
            <w:tcBorders/>
            <w:vAlign w:val="center"/>
          </w:tcPr>
          <w:p>
            <w:pPr>
              <w:pStyle w:val="TableContents"/>
              <w:bidi w:val="0"/>
              <w:spacing w:before="0" w:after="283"/>
              <w:jc w:val="right"/>
              <w:rPr>
                <w:caps w:val="false"/>
                <w:smallCaps w:val="false"/>
              </w:rPr>
            </w:pPr>
            <w:r>
              <w:rPr>
                <w:caps w:val="false"/>
                <w:smallCaps w:val="false"/>
              </w:rPr>
              <w:t> </w:t>
            </w:r>
          </w:p>
        </w:tc>
        <w:tc>
          <w:tcPr>
            <w:tcW w:w="8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942" w:type="dxa"/>
            <w:gridSpan w:val="3"/>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86" w:type="dxa"/>
            <w:gridSpan w:val="2"/>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82" w:type="dxa"/>
            <w:gridSpan w:val="2"/>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1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gridSpan w:val="2"/>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0.68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gridSpan w:val="2"/>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8" w:type="dxa"/>
            <w:gridSpan w:val="2"/>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02/21/27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8"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942" w:type="dxa"/>
            <w:gridSpan w:val="3"/>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86" w:type="dxa"/>
            <w:gridSpan w:val="2"/>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82" w:type="dxa"/>
            <w:gridSpan w:val="2"/>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1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gridSpan w:val="2"/>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gridSpan w:val="2"/>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8" w:type="dxa"/>
            <w:gridSpan w:val="2"/>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05/23/28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8"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942" w:type="dxa"/>
            <w:gridSpan w:val="3"/>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86" w:type="dxa"/>
            <w:gridSpan w:val="2"/>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16,500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82" w:type="dxa"/>
            <w:gridSpan w:val="2"/>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1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gridSpan w:val="2"/>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gridSpan w:val="2"/>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8" w:type="dxa"/>
            <w:gridSpan w:val="2"/>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05/22/29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8"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942" w:type="dxa"/>
            <w:gridSpan w:val="3"/>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86" w:type="dxa"/>
            <w:gridSpan w:val="2"/>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82" w:type="dxa"/>
            <w:gridSpan w:val="2"/>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1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gridSpan w:val="2"/>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gridSpan w:val="2"/>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8" w:type="dxa"/>
            <w:gridSpan w:val="2"/>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06/18/27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8"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942" w:type="dxa"/>
            <w:gridSpan w:val="3"/>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86" w:type="dxa"/>
            <w:gridSpan w:val="2"/>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82" w:type="dxa"/>
            <w:gridSpan w:val="2"/>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1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gridSpan w:val="2"/>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gridSpan w:val="2"/>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8" w:type="dxa"/>
            <w:gridSpan w:val="2"/>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12/28/28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8"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942" w:type="dxa"/>
            <w:gridSpan w:val="3"/>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86" w:type="dxa"/>
            <w:gridSpan w:val="2"/>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82" w:type="dxa"/>
            <w:gridSpan w:val="2"/>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1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gridSpan w:val="2"/>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gridSpan w:val="2"/>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8" w:type="dxa"/>
            <w:gridSpan w:val="2"/>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12/20/29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8"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942" w:type="dxa"/>
            <w:gridSpan w:val="3"/>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86" w:type="dxa"/>
            <w:gridSpan w:val="2"/>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82" w:type="dxa"/>
            <w:gridSpan w:val="2"/>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17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(1)</w:t>
            </w:r>
          </w:p>
        </w:tc>
        <w:tc>
          <w:tcPr>
            <w:tcW w:w="120" w:type="dxa"/>
            <w:gridSpan w:val="2"/>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0.61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gridSpan w:val="2"/>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8" w:type="dxa"/>
            <w:gridSpan w:val="2"/>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12/27/30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8"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942" w:type="dxa"/>
            <w:gridSpan w:val="3"/>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86" w:type="dxa"/>
            <w:gridSpan w:val="2"/>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22,500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82" w:type="dxa"/>
            <w:gridSpan w:val="2"/>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17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(2)</w:t>
            </w:r>
          </w:p>
        </w:tc>
        <w:tc>
          <w:tcPr>
            <w:tcW w:w="120" w:type="dxa"/>
            <w:gridSpan w:val="2"/>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gridSpan w:val="2"/>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8" w:type="dxa"/>
            <w:gridSpan w:val="2"/>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12/31/31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8"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3"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4"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1"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39" w:type="dxa"/>
            <w:gridSpan w:val="2"/>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7" w:type="dxa"/>
            <w:gridSpan w:val="2"/>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6"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5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gridSpan w:val="2"/>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0" w:type="dxa"/>
            <w:gridSpan w:val="4"/>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942" w:type="dxa"/>
            <w:gridSpan w:val="3"/>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Kevin Cureton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86" w:type="dxa"/>
            <w:gridSpan w:val="2"/>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82" w:type="dxa"/>
            <w:gridSpan w:val="2"/>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gridSpan w:val="2"/>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gridSpan w:val="2"/>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8" w:type="dxa"/>
            <w:gridSpan w:val="2"/>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8"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942" w:type="dxa"/>
            <w:gridSpan w:val="3"/>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86" w:type="dxa"/>
            <w:gridSpan w:val="2"/>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82" w:type="dxa"/>
            <w:gridSpan w:val="2"/>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1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gridSpan w:val="2"/>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0.68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gridSpan w:val="2"/>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8" w:type="dxa"/>
            <w:gridSpan w:val="2"/>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02/21/27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8"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942" w:type="dxa"/>
            <w:gridSpan w:val="3"/>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86" w:type="dxa"/>
            <w:gridSpan w:val="2"/>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82" w:type="dxa"/>
            <w:gridSpan w:val="2"/>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1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gridSpan w:val="2"/>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gridSpan w:val="2"/>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8" w:type="dxa"/>
            <w:gridSpan w:val="2"/>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05/23/28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8"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942" w:type="dxa"/>
            <w:gridSpan w:val="3"/>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86" w:type="dxa"/>
            <w:gridSpan w:val="2"/>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16,500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82" w:type="dxa"/>
            <w:gridSpan w:val="2"/>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1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gridSpan w:val="2"/>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gridSpan w:val="2"/>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8" w:type="dxa"/>
            <w:gridSpan w:val="2"/>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05/22/29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8"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942" w:type="dxa"/>
            <w:gridSpan w:val="3"/>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86" w:type="dxa"/>
            <w:gridSpan w:val="2"/>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82" w:type="dxa"/>
            <w:gridSpan w:val="2"/>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1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gridSpan w:val="2"/>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gridSpan w:val="2"/>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8" w:type="dxa"/>
            <w:gridSpan w:val="2"/>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06/18/27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8"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942" w:type="dxa"/>
            <w:gridSpan w:val="3"/>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86" w:type="dxa"/>
            <w:gridSpan w:val="2"/>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82" w:type="dxa"/>
            <w:gridSpan w:val="2"/>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1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gridSpan w:val="2"/>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gridSpan w:val="2"/>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8" w:type="dxa"/>
            <w:gridSpan w:val="2"/>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12/28/28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8"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942" w:type="dxa"/>
            <w:gridSpan w:val="3"/>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86" w:type="dxa"/>
            <w:gridSpan w:val="2"/>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82" w:type="dxa"/>
            <w:gridSpan w:val="2"/>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1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gridSpan w:val="2"/>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gridSpan w:val="2"/>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8" w:type="dxa"/>
            <w:gridSpan w:val="2"/>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12/20/29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8"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942" w:type="dxa"/>
            <w:gridSpan w:val="3"/>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86" w:type="dxa"/>
            <w:gridSpan w:val="2"/>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82" w:type="dxa"/>
            <w:gridSpan w:val="2"/>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4,200</w:t>
            </w:r>
          </w:p>
        </w:tc>
        <w:tc>
          <w:tcPr>
            <w:tcW w:w="17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(1)</w:t>
            </w:r>
          </w:p>
        </w:tc>
        <w:tc>
          <w:tcPr>
            <w:tcW w:w="120" w:type="dxa"/>
            <w:gridSpan w:val="2"/>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0.61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gridSpan w:val="2"/>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8" w:type="dxa"/>
            <w:gridSpan w:val="2"/>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12/27/30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8"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942" w:type="dxa"/>
            <w:gridSpan w:val="3"/>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86" w:type="dxa"/>
            <w:gridSpan w:val="2"/>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82" w:type="dxa"/>
            <w:gridSpan w:val="2"/>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15,000</w:t>
            </w:r>
          </w:p>
        </w:tc>
        <w:tc>
          <w:tcPr>
            <w:tcW w:w="17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(2)</w:t>
            </w:r>
          </w:p>
        </w:tc>
        <w:tc>
          <w:tcPr>
            <w:tcW w:w="120" w:type="dxa"/>
            <w:gridSpan w:val="2"/>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gridSpan w:val="2"/>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8" w:type="dxa"/>
            <w:gridSpan w:val="2"/>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12/31/31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8"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942" w:type="dxa"/>
            <w:gridSpan w:val="3"/>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86" w:type="dxa"/>
            <w:gridSpan w:val="2"/>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82" w:type="dxa"/>
            <w:gridSpan w:val="2"/>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gridSpan w:val="2"/>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gridSpan w:val="2"/>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8" w:type="dxa"/>
            <w:gridSpan w:val="2"/>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8"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942" w:type="dxa"/>
            <w:gridSpan w:val="3"/>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Laura Riffner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86" w:type="dxa"/>
            <w:gridSpan w:val="2"/>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82" w:type="dxa"/>
            <w:gridSpan w:val="2"/>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60,000</w:t>
            </w:r>
          </w:p>
        </w:tc>
        <w:tc>
          <w:tcPr>
            <w:tcW w:w="17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(3)</w:t>
            </w:r>
          </w:p>
        </w:tc>
        <w:tc>
          <w:tcPr>
            <w:tcW w:w="120" w:type="dxa"/>
            <w:gridSpan w:val="2"/>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gridSpan w:val="2"/>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8" w:type="dxa"/>
            <w:gridSpan w:val="2"/>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09/02/32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8"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283"/>
        <w:jc w:val="left"/>
        <w:rPr/>
      </w:pPr>
      <w:r>
        <w:rPr/>
        <w:t> </w:t>
      </w:r>
    </w:p>
    <w:tbl>
      <w:tblPr>
        <w:tblW w:w="9520" w:type="dxa"/>
        <w:jc w:val="left"/>
        <w:tblInd w:w="0" w:type="dxa"/>
        <w:tblLayout w:type="fixed"/>
        <w:tblCellMar>
          <w:top w:w="0" w:type="dxa"/>
          <w:left w:w="0" w:type="dxa"/>
          <w:bottom w:w="0" w:type="dxa"/>
          <w:right w:w="0" w:type="dxa"/>
        </w:tblCellMar>
      </w:tblPr>
      <w:tblGrid>
        <w:gridCol w:w="260"/>
        <w:gridCol w:w="9260"/>
      </w:tblGrid>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2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grants expiring December 27, 2030 vest in three equal installments on December 27, 2024, 2025, and 2026.</w:t>
            </w:r>
          </w:p>
        </w:tc>
      </w:tr>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2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grants expiring December 31, 2031 vest in three equal installments on December 31, 2025, 2026, and 2027.</w:t>
            </w:r>
          </w:p>
        </w:tc>
      </w:tr>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2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grants expiring September 3, 2032 vest in three equal installments on September, 2026, 2027, and 2028.</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20</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POTENTIAL PAYMENT UPON TERMINATION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Severance Benefits. </w:t>
      </w:r>
      <w:r>
        <w:rPr>
          <w:rFonts w:ascii="Times New Roman;Times;Serif" w:hAnsi="Times New Roman;Times;Serif"/>
          <w:b w:val="false"/>
          <w:i w:val="false"/>
          <w:caps w:val="false"/>
          <w:smallCaps w:val="false"/>
          <w:sz w:val="20"/>
        </w:rPr>
        <w:t>Please see discussion of severance benefits under “Employment Agreements” above.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Payments. </w:t>
      </w:r>
      <w:r>
        <w:rPr>
          <w:rFonts w:ascii="Times New Roman;Times;Serif" w:hAnsi="Times New Roman;Times;Serif"/>
          <w:b w:val="false"/>
          <w:i w:val="false"/>
          <w:caps w:val="false"/>
          <w:smallCaps w:val="false"/>
          <w:sz w:val="20"/>
        </w:rPr>
        <w:t>The following table quantifies the estimated payments that would be made in termination without cause to the following named executive officers:</w:t>
      </w:r>
    </w:p>
    <w:p>
      <w:pPr>
        <w:pStyle w:val="TextBody"/>
        <w:bidi w:val="0"/>
        <w:spacing w:before="0" w:after="0"/>
        <w:ind w:left="0" w:right="0" w:firstLine="720"/>
        <w:jc w:val="both"/>
        <w:rPr>
          <w:caps w:val="false"/>
          <w:smallCaps w:val="false"/>
        </w:rPr>
      </w:pPr>
      <w:r>
        <w:rPr>
          <w:caps w:val="false"/>
          <w:smallCaps w:val="false"/>
        </w:rPr>
        <w:t> </w:t>
      </w:r>
    </w:p>
    <w:tbl>
      <w:tblPr>
        <w:tblW w:w="4569" w:type="dxa"/>
        <w:jc w:val="left"/>
        <w:tblInd w:w="0" w:type="dxa"/>
        <w:tblLayout w:type="fixed"/>
        <w:tblCellMar>
          <w:top w:w="0" w:type="dxa"/>
          <w:left w:w="0" w:type="dxa"/>
          <w:bottom w:w="28" w:type="dxa"/>
          <w:right w:w="0" w:type="dxa"/>
        </w:tblCellMar>
      </w:tblPr>
      <w:tblGrid>
        <w:gridCol w:w="1385"/>
        <w:gridCol w:w="60"/>
        <w:gridCol w:w="453"/>
        <w:gridCol w:w="2536"/>
        <w:gridCol w:w="60"/>
        <w:gridCol w:w="75"/>
      </w:tblGrid>
      <w:tr>
        <w:trPr/>
        <w:tc>
          <w:tcPr>
            <w:tcW w:w="1385"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i w:val="false"/>
                <w:caps w:val="false"/>
                <w:smallCaps w:val="false"/>
                <w:sz w:val="20"/>
              </w:rPr>
              <w:t>Name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98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Termination By Company Without</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 xml:space="preserve">Cause </w:t>
            </w:r>
            <w:r>
              <w:rPr>
                <w:rFonts w:ascii="Times New Roman;Times;Serif" w:hAnsi="Times New Roman;Times;Serif"/>
                <w:b/>
                <w:i w:val="false"/>
                <w:caps w:val="false"/>
                <w:smallCaps w:val="false"/>
                <w:position w:val="7"/>
                <w:sz w:val="16"/>
                <w:sz w:val="20"/>
              </w:rPr>
              <w:t>(1)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3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Kevin Cureton</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5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53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367,000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3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Laura Riffner (2)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53"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536"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135,000</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19"/>
        <w:gridCol w:w="9986"/>
      </w:tblGrid>
      <w:tr>
        <w:trPr/>
        <w:tc>
          <w:tcPr>
            <w:tcW w:w="2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8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amount represents the severance benefits that would be received under the executive officer’s employment agreement as described had the executive officer been terminated by the Company without cause on December 31, 2025, including the value of any stock options that would have accelerated vesting in connection with such termination.</w:t>
            </w:r>
          </w:p>
        </w:tc>
      </w:tr>
      <w:tr>
        <w:trPr/>
        <w:tc>
          <w:tcPr>
            <w:tcW w:w="219" w:type="dxa"/>
            <w:tcBorders/>
            <w:vAlign w:val="center"/>
          </w:tcPr>
          <w:p>
            <w:pPr>
              <w:pStyle w:val="TableContents"/>
              <w:bidi w:val="0"/>
              <w:spacing w:before="0" w:after="283"/>
              <w:jc w:val="left"/>
              <w:rPr>
                <w:caps w:val="false"/>
                <w:smallCaps w:val="false"/>
              </w:rPr>
            </w:pPr>
            <w:r>
              <w:rPr>
                <w:caps w:val="false"/>
                <w:smallCaps w:val="false"/>
              </w:rPr>
              <w:t> </w:t>
            </w:r>
          </w:p>
        </w:tc>
        <w:tc>
          <w:tcPr>
            <w:tcW w:w="998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8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presented represents the payments if terminated without cause prior to December 3, 2026.  After December 3, 2026, the payment would reduce to $67,500</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COMPENSATION</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first being elected to the Board of Directors, each director of the Company who is not an employee or consultant of the Company (an “Outside Director”) is granted stock options to purchase shares of common stock at the closing price as of the date of issuance (the fair market value). This initial option grant to an Outside Director typically vests over three years, though may accelerate upon termination from the Board of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2025, we paid quarterly compensation to the Chairman of the Board of Directors, for an annual total of $24,000. Our other two then Outside Directors, Ms. Beres and Mr. Miller were each paid quarterly compensation for an annual total of $18,000. This compensation was made solely for services performed by each in their capacities as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2025, no stock options were granted to our Outside Directors under the 2019 Equity Plan. Our current Outside Directors had the following shares of our common stock underlying stock options (both vested and unvested) outstanding as of December 31, 2025: Ms. Whitmore: 59,934 shares; Ms. Beres: 61,600 shares; and Mr. Miller: 31,600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2005, we adopted, and our stockholders approved, the 2005 Non-Employee Director Restricted Stock Plan (the “Director Restricted Stock Plan”) which reserved 150,000 shares of our common stock to be issued to Outside Directors in the form of restricted shares. In 2005, no awards were made under the Director Restricted Stock Plan. In 2005, we also adopted the Non-Employee Director Deferred Compensation Plan (the “Director Deferred Compensation Plan”) which permits an Outside Director to defer the receipt of director fees until separation from service or the Company undergoes a change in control. We amended the Director Restricted Stock Plan in 2005 to permit an Outside Director to defer receipt of restricted stock granted under it. The deferred restricted shares are accounted for under the Director Deferred Compensation Plan and issued upon separation from service or the Company’s change in control. Under the Director Deferred Compensation Plan, the deferred fees that would have been paid in cash are deemed invested in 5-year U.S. Treasury Bonds during the deferral period. The accumulated hypothetical earnings are paid following the Outside Director’s separation from service or the Company’s change in control. The deferred fees that would have been paid as restricted shares are deemed invested in our common stock during the deferral period. The Director Deferred Compensation Plan is an unfunded, nonqualified deferred compensation arrangement. In 2009, all Outside Directors elected to defer receipts of all of the restricted shares they became entitled to under the Director Restricted Stock Plan, which was consolidated into the 2010 Equity Plan. In November 2019, the 2010 Equity Plan was consolidated in to the 2019 Equity Compensation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21</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Outside Directors are reimbursed for their reasonable out-of-pocket expenses incurred in attending board and committee meetings. </w:t>
      </w:r>
    </w:p>
    <w:p>
      <w:pPr>
        <w:pStyle w:val="TextBody"/>
        <w:bidi w:val="0"/>
        <w:spacing w:before="0" w:after="0"/>
        <w:jc w:val="both"/>
        <w:rPr>
          <w:caps w:val="false"/>
          <w:smallCaps w:val="false"/>
        </w:rPr>
      </w:pPr>
      <w:r>
        <w:rPr>
          <w:caps w:val="false"/>
          <w:smallCaps w:val="false"/>
        </w:rPr>
        <w:t> </w:t>
      </w:r>
    </w:p>
    <w:tbl>
      <w:tblPr>
        <w:tblW w:w="6650" w:type="dxa"/>
        <w:jc w:val="left"/>
        <w:tblInd w:w="0" w:type="dxa"/>
        <w:tblLayout w:type="fixed"/>
        <w:tblCellMar>
          <w:top w:w="0" w:type="dxa"/>
          <w:left w:w="0" w:type="dxa"/>
          <w:bottom w:w="0" w:type="dxa"/>
          <w:right w:w="0" w:type="dxa"/>
        </w:tblCellMar>
      </w:tblPr>
      <w:tblGrid>
        <w:gridCol w:w="1805"/>
        <w:gridCol w:w="60"/>
        <w:gridCol w:w="232"/>
        <w:gridCol w:w="1128"/>
        <w:gridCol w:w="99"/>
        <w:gridCol w:w="99"/>
        <w:gridCol w:w="557"/>
        <w:gridCol w:w="1037"/>
        <w:gridCol w:w="99"/>
        <w:gridCol w:w="99"/>
        <w:gridCol w:w="232"/>
        <w:gridCol w:w="1128"/>
        <w:gridCol w:w="75"/>
      </w:tblGrid>
      <w:tr>
        <w:trPr/>
        <w:tc>
          <w:tcPr>
            <w:tcW w:w="1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10"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2025 Outside Director Compensation</w:t>
            </w:r>
          </w:p>
        </w:tc>
        <w:tc>
          <w:tcPr>
            <w:tcW w:w="75" w:type="dxa"/>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b/>
              </w:rPr>
            </w:pPr>
            <w:r>
              <w:rPr>
                <w:b/>
              </w:rPr>
              <w:t>Name</w:t>
            </w:r>
          </w:p>
        </w:tc>
        <w:tc>
          <w:tcPr>
            <w:tcW w:w="6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Fees Earned</w:t>
              <w:br/>
              <w:t>or Paid in</w:t>
              <w:br/>
              <w:t>Cash</w:t>
              <w:br/>
              <w:t>($)</w:t>
            </w:r>
          </w:p>
        </w:tc>
        <w:tc>
          <w:tcPr>
            <w:tcW w:w="99"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59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Option Awards</w:t>
              <w:br/>
              <w:t>($)</w:t>
            </w:r>
            <w:r>
              <w:rPr>
                <w:b/>
                <w:position w:val="8"/>
                <w:sz w:val="19"/>
              </w:rPr>
              <w:t>(1)</w:t>
            </w:r>
          </w:p>
        </w:tc>
        <w:tc>
          <w:tcPr>
            <w:tcW w:w="99"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 ($)</w:t>
            </w:r>
          </w:p>
        </w:tc>
        <w:tc>
          <w:tcPr>
            <w:tcW w:w="75" w:type="dxa"/>
            <w:tcBorders/>
            <w:vAlign w:val="center"/>
          </w:tcPr>
          <w:p>
            <w:pPr>
              <w:pStyle w:val="TableContents"/>
              <w:bidi w:val="0"/>
              <w:spacing w:before="0" w:after="283"/>
              <w:jc w:val="left"/>
              <w:rPr/>
            </w:pPr>
            <w:r>
              <w:rPr/>
              <w:t> </w:t>
            </w:r>
          </w:p>
        </w:tc>
      </w:tr>
      <w:tr>
        <w:trPr/>
        <w:tc>
          <w:tcPr>
            <w:tcW w:w="1805" w:type="dxa"/>
            <w:tcBorders/>
            <w:shd w:fill="CCEEFF" w:val="clear"/>
            <w:vAlign w:val="center"/>
          </w:tcPr>
          <w:p>
            <w:pPr>
              <w:pStyle w:val="TableContents"/>
              <w:bidi w:val="0"/>
              <w:spacing w:before="0" w:after="283"/>
              <w:jc w:val="left"/>
              <w:rPr/>
            </w:pPr>
            <w:r>
              <w:rPr/>
              <w:t>R. Janet Whitmore</w:t>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w:t>
            </w:r>
          </w:p>
        </w:tc>
        <w:tc>
          <w:tcPr>
            <w:tcW w:w="1128" w:type="dxa"/>
            <w:tcBorders/>
            <w:shd w:fill="CCEEFF" w:val="clear"/>
            <w:vAlign w:val="center"/>
          </w:tcPr>
          <w:p>
            <w:pPr>
              <w:pStyle w:val="TableContents"/>
              <w:bidi w:val="0"/>
              <w:spacing w:before="0" w:after="283"/>
              <w:jc w:val="right"/>
              <w:rPr/>
            </w:pPr>
            <w:r>
              <w:rPr/>
              <w:t>24,000</w:t>
            </w:r>
          </w:p>
        </w:tc>
        <w:tc>
          <w:tcPr>
            <w:tcW w:w="99"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557" w:type="dxa"/>
            <w:tcBorders/>
            <w:shd w:fill="CCEEFF" w:val="clear"/>
            <w:vAlign w:val="center"/>
          </w:tcPr>
          <w:p>
            <w:pPr>
              <w:pStyle w:val="TableContents"/>
              <w:bidi w:val="0"/>
              <w:spacing w:before="0" w:after="283"/>
              <w:jc w:val="left"/>
              <w:rPr/>
            </w:pPr>
            <w:r>
              <w:rPr/>
              <w:t>$</w:t>
            </w:r>
          </w:p>
        </w:tc>
        <w:tc>
          <w:tcPr>
            <w:tcW w:w="1037" w:type="dxa"/>
            <w:tcBorders/>
            <w:shd w:fill="CCEEFF" w:val="clear"/>
            <w:vAlign w:val="center"/>
          </w:tcPr>
          <w:p>
            <w:pPr>
              <w:pStyle w:val="TableContents"/>
              <w:bidi w:val="0"/>
              <w:spacing w:before="0" w:after="283"/>
              <w:jc w:val="right"/>
              <w:rPr/>
            </w:pPr>
            <w:r>
              <w:rPr/>
              <w:t>—</w:t>
            </w:r>
          </w:p>
        </w:tc>
        <w:tc>
          <w:tcPr>
            <w:tcW w:w="99"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w:t>
            </w:r>
          </w:p>
        </w:tc>
        <w:tc>
          <w:tcPr>
            <w:tcW w:w="1128" w:type="dxa"/>
            <w:tcBorders/>
            <w:shd w:fill="CCEEFF" w:val="clear"/>
            <w:vAlign w:val="center"/>
          </w:tcPr>
          <w:p>
            <w:pPr>
              <w:pStyle w:val="TableContents"/>
              <w:bidi w:val="0"/>
              <w:spacing w:before="0" w:after="283"/>
              <w:jc w:val="right"/>
              <w:rPr/>
            </w:pPr>
            <w:r>
              <w:rPr/>
              <w:t>24,000</w:t>
            </w:r>
          </w:p>
        </w:tc>
        <w:tc>
          <w:tcPr>
            <w:tcW w:w="75" w:type="dxa"/>
            <w:tcBorders/>
            <w:shd w:fill="CCEEFF" w:val="clear"/>
            <w:vAlign w:val="center"/>
          </w:tcPr>
          <w:p>
            <w:pPr>
              <w:pStyle w:val="TableContents"/>
              <w:bidi w:val="0"/>
              <w:spacing w:before="0" w:after="283"/>
              <w:jc w:val="left"/>
              <w:rPr/>
            </w:pPr>
            <w:r>
              <w:rPr/>
              <w:t> </w:t>
            </w:r>
          </w:p>
        </w:tc>
      </w:tr>
      <w:tr>
        <w:trPr/>
        <w:tc>
          <w:tcPr>
            <w:tcW w:w="1805" w:type="dxa"/>
            <w:tcBorders/>
            <w:shd w:fill="FFFFFF" w:val="clear"/>
            <w:vAlign w:val="center"/>
          </w:tcPr>
          <w:p>
            <w:pPr>
              <w:pStyle w:val="TableContents"/>
              <w:bidi w:val="0"/>
              <w:spacing w:before="0" w:after="283"/>
              <w:jc w:val="left"/>
              <w:rPr/>
            </w:pPr>
            <w:r>
              <w:rPr/>
              <w:t>Laura M. Beres</w:t>
            </w:r>
          </w:p>
        </w:tc>
        <w:tc>
          <w:tcPr>
            <w:tcW w:w="60"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w:t>
            </w:r>
          </w:p>
        </w:tc>
        <w:tc>
          <w:tcPr>
            <w:tcW w:w="1128" w:type="dxa"/>
            <w:tcBorders/>
            <w:shd w:fill="FFFFFF" w:val="clear"/>
            <w:vAlign w:val="center"/>
          </w:tcPr>
          <w:p>
            <w:pPr>
              <w:pStyle w:val="TableContents"/>
              <w:bidi w:val="0"/>
              <w:spacing w:before="0" w:after="283"/>
              <w:jc w:val="right"/>
              <w:rPr/>
            </w:pPr>
            <w:r>
              <w:rPr/>
              <w:t>18,000</w:t>
            </w:r>
          </w:p>
        </w:tc>
        <w:tc>
          <w:tcPr>
            <w:tcW w:w="99"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557" w:type="dxa"/>
            <w:tcBorders/>
            <w:shd w:fill="FFFFFF" w:val="clear"/>
            <w:vAlign w:val="center"/>
          </w:tcPr>
          <w:p>
            <w:pPr>
              <w:pStyle w:val="TableContents"/>
              <w:bidi w:val="0"/>
              <w:spacing w:before="0" w:after="283"/>
              <w:jc w:val="left"/>
              <w:rPr/>
            </w:pPr>
            <w:r>
              <w:rPr/>
              <w:t>$</w:t>
            </w:r>
          </w:p>
        </w:tc>
        <w:tc>
          <w:tcPr>
            <w:tcW w:w="1037" w:type="dxa"/>
            <w:tcBorders/>
            <w:shd w:fill="FFFFFF" w:val="clear"/>
            <w:vAlign w:val="center"/>
          </w:tcPr>
          <w:p>
            <w:pPr>
              <w:pStyle w:val="TableContents"/>
              <w:bidi w:val="0"/>
              <w:spacing w:before="0" w:after="283"/>
              <w:jc w:val="right"/>
              <w:rPr/>
            </w:pPr>
            <w:r>
              <w:rPr/>
              <w:t>—</w:t>
            </w:r>
          </w:p>
        </w:tc>
        <w:tc>
          <w:tcPr>
            <w:tcW w:w="99"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w:t>
            </w:r>
          </w:p>
        </w:tc>
        <w:tc>
          <w:tcPr>
            <w:tcW w:w="1128" w:type="dxa"/>
            <w:tcBorders/>
            <w:shd w:fill="FFFFFF" w:val="clear"/>
            <w:vAlign w:val="center"/>
          </w:tcPr>
          <w:p>
            <w:pPr>
              <w:pStyle w:val="TableContents"/>
              <w:bidi w:val="0"/>
              <w:spacing w:before="0" w:after="283"/>
              <w:jc w:val="right"/>
              <w:rPr/>
            </w:pPr>
            <w:r>
              <w:rPr/>
              <w:t>18,000</w:t>
            </w:r>
          </w:p>
        </w:tc>
        <w:tc>
          <w:tcPr>
            <w:tcW w:w="75" w:type="dxa"/>
            <w:tcBorders/>
            <w:shd w:fill="FFFFFF" w:val="clear"/>
            <w:vAlign w:val="center"/>
          </w:tcPr>
          <w:p>
            <w:pPr>
              <w:pStyle w:val="TableContents"/>
              <w:bidi w:val="0"/>
              <w:spacing w:before="0" w:after="283"/>
              <w:jc w:val="left"/>
              <w:rPr/>
            </w:pPr>
            <w:r>
              <w:rPr/>
              <w:t> </w:t>
            </w:r>
          </w:p>
        </w:tc>
      </w:tr>
      <w:tr>
        <w:trPr/>
        <w:tc>
          <w:tcPr>
            <w:tcW w:w="1805" w:type="dxa"/>
            <w:tcBorders/>
            <w:shd w:fill="CCEEFF" w:val="clear"/>
            <w:vAlign w:val="center"/>
          </w:tcPr>
          <w:p>
            <w:pPr>
              <w:pStyle w:val="TableContents"/>
              <w:bidi w:val="0"/>
              <w:spacing w:before="0" w:after="283"/>
              <w:jc w:val="left"/>
              <w:rPr/>
            </w:pPr>
            <w:r>
              <w:rPr/>
              <w:t>Mark E. Miller</w:t>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w:t>
            </w:r>
          </w:p>
        </w:tc>
        <w:tc>
          <w:tcPr>
            <w:tcW w:w="1128" w:type="dxa"/>
            <w:tcBorders/>
            <w:shd w:fill="CCEEFF" w:val="clear"/>
            <w:vAlign w:val="center"/>
          </w:tcPr>
          <w:p>
            <w:pPr>
              <w:pStyle w:val="TableContents"/>
              <w:bidi w:val="0"/>
              <w:spacing w:before="0" w:after="283"/>
              <w:jc w:val="right"/>
              <w:rPr/>
            </w:pPr>
            <w:r>
              <w:rPr/>
              <w:t>18,000</w:t>
            </w:r>
          </w:p>
        </w:tc>
        <w:tc>
          <w:tcPr>
            <w:tcW w:w="99"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557" w:type="dxa"/>
            <w:tcBorders/>
            <w:shd w:fill="CCEEFF" w:val="clear"/>
            <w:vAlign w:val="center"/>
          </w:tcPr>
          <w:p>
            <w:pPr>
              <w:pStyle w:val="TableContents"/>
              <w:bidi w:val="0"/>
              <w:spacing w:before="0" w:after="283"/>
              <w:jc w:val="left"/>
              <w:rPr/>
            </w:pPr>
            <w:r>
              <w:rPr/>
              <w:t>$</w:t>
            </w:r>
          </w:p>
        </w:tc>
        <w:tc>
          <w:tcPr>
            <w:tcW w:w="1037" w:type="dxa"/>
            <w:tcBorders/>
            <w:shd w:fill="CCEEFF" w:val="clear"/>
            <w:vAlign w:val="center"/>
          </w:tcPr>
          <w:p>
            <w:pPr>
              <w:pStyle w:val="TableContents"/>
              <w:bidi w:val="0"/>
              <w:spacing w:before="0" w:after="283"/>
              <w:jc w:val="right"/>
              <w:rPr/>
            </w:pPr>
            <w:r>
              <w:rPr/>
              <w:t>—</w:t>
            </w:r>
          </w:p>
        </w:tc>
        <w:tc>
          <w:tcPr>
            <w:tcW w:w="99"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w:t>
            </w:r>
          </w:p>
        </w:tc>
        <w:tc>
          <w:tcPr>
            <w:tcW w:w="1128" w:type="dxa"/>
            <w:tcBorders/>
            <w:shd w:fill="CCEEFF" w:val="clear"/>
            <w:vAlign w:val="center"/>
          </w:tcPr>
          <w:p>
            <w:pPr>
              <w:pStyle w:val="TableContents"/>
              <w:bidi w:val="0"/>
              <w:spacing w:before="0" w:after="283"/>
              <w:jc w:val="right"/>
              <w:rPr/>
            </w:pPr>
            <w:r>
              <w:rPr/>
              <w:t>18,000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20"/>
        <w:gridCol w:w="9985"/>
      </w:tblGrid>
      <w:tr>
        <w:trPr/>
        <w:tc>
          <w:tcPr>
            <w:tcW w:w="2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amounts in this column represent the aggregate grant date fair value of awards granted in 2025 in accordance with FASB ASC Topic 718. See Note 10 of the notes to our financial statements contained elsewhere in this Form 10-K for a discussion of all assumptions made by us in determining the FASB ASC Topic 718 values.</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not the Company’s practice to issue named executive officers or other employees option grants shortly before or after the disclosure of material non-public information.  The board of directors approves all option grants. For the last several years when options have been granted it has been once per year in December to named executive officers and other employee.  The only exception to this practice is when option grants are made to qualifying new hires on or near their hire date.  It is not the board’s policy or practice to time the release of material non-public information and the issuance of option grants to affect the value of the named executives’ compensation.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bookmarkStart w:id="79" w:name="solesence10ka040"/>
      <w:bookmarkEnd w:id="79"/>
      <w:r>
        <w:rPr>
          <w:rFonts w:ascii="Times New Roman;Times;Serif" w:hAnsi="Times New Roman;Times;Serif"/>
          <w:b/>
          <w:i w:val="false"/>
          <w:caps w:val="false"/>
          <w:smallCaps w:val="false"/>
          <w:sz w:val="20"/>
        </w:rPr>
        <w:t>Item 12. Security Ownership of Certain Beneficial Owners and Management and Related Stockholder Matters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AUTHORIZED FOR ISSUANCE UNDER EQUITY COMPENSATION PLAN</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gives information about our common stock that may be issued upon the exercise of options and rights under our 2025 Equity Compensation Plan (the “2025 Equity Plan”), 2019 Equity Compensation Plan (the “2019 Equity Plan”) and our 2010 Equity Compensation Plan (the “2010 Equity Plan”) on December 31, 2025. The 2025 Equity Plan replaced the 2019 Equity Plan. The 2019 Equity Plan replaced the 2010 Equity Plan.</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04"/>
        <w:gridCol w:w="60"/>
        <w:gridCol w:w="128"/>
        <w:gridCol w:w="2096"/>
        <w:gridCol w:w="128"/>
        <w:gridCol w:w="60"/>
        <w:gridCol w:w="499"/>
        <w:gridCol w:w="1575"/>
        <w:gridCol w:w="60"/>
        <w:gridCol w:w="60"/>
        <w:gridCol w:w="3835"/>
      </w:tblGrid>
      <w:tr>
        <w:trPr/>
        <w:tc>
          <w:tcPr>
            <w:tcW w:w="170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8" w:type="dxa"/>
            <w:tcBorders/>
            <w:vAlign w:val="center"/>
          </w:tcPr>
          <w:p>
            <w:pPr>
              <w:pStyle w:val="TableContents"/>
              <w:bidi w:val="0"/>
              <w:spacing w:before="0" w:after="283"/>
              <w:jc w:val="center"/>
              <w:rPr/>
            </w:pPr>
            <w:r>
              <w:rPr/>
              <w:t> </w:t>
            </w:r>
          </w:p>
        </w:tc>
        <w:tc>
          <w:tcPr>
            <w:tcW w:w="2224" w:type="dxa"/>
            <w:gridSpan w:val="2"/>
            <w:tcBorders/>
            <w:vAlign w:val="center"/>
          </w:tcPr>
          <w:p>
            <w:pPr>
              <w:pStyle w:val="TableContents"/>
              <w:bidi w:val="0"/>
              <w:spacing w:before="0" w:after="283"/>
              <w:jc w:val="center"/>
              <w:rPr>
                <w:b/>
              </w:rPr>
            </w:pPr>
            <w:r>
              <w:rPr>
                <w:b/>
              </w:rPr>
              <w:t>(a)</w:t>
            </w:r>
          </w:p>
        </w:tc>
        <w:tc>
          <w:tcPr>
            <w:tcW w:w="60" w:type="dxa"/>
            <w:tcBorders/>
            <w:vAlign w:val="center"/>
          </w:tcPr>
          <w:p>
            <w:pPr>
              <w:pStyle w:val="TableContents"/>
              <w:bidi w:val="0"/>
              <w:spacing w:before="0" w:after="283"/>
              <w:jc w:val="center"/>
              <w:rPr/>
            </w:pPr>
            <w:r>
              <w:rPr/>
              <w:t> </w:t>
            </w:r>
          </w:p>
        </w:tc>
        <w:tc>
          <w:tcPr>
            <w:tcW w:w="2074" w:type="dxa"/>
            <w:gridSpan w:val="2"/>
            <w:tcBorders/>
            <w:vAlign w:val="center"/>
          </w:tcPr>
          <w:p>
            <w:pPr>
              <w:pStyle w:val="TableContents"/>
              <w:bidi w:val="0"/>
              <w:spacing w:before="0" w:after="283"/>
              <w:jc w:val="center"/>
              <w:rPr>
                <w:b/>
              </w:rPr>
            </w:pPr>
            <w:r>
              <w:rPr>
                <w:b/>
              </w:rPr>
              <w:t>(b)</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3835" w:type="dxa"/>
            <w:tcBorders/>
            <w:vAlign w:val="center"/>
          </w:tcPr>
          <w:p>
            <w:pPr>
              <w:pStyle w:val="TableContents"/>
              <w:bidi w:val="0"/>
              <w:spacing w:before="0" w:after="283"/>
              <w:jc w:val="center"/>
              <w:rPr/>
            </w:pPr>
            <w:r>
              <w:rPr/>
              <w:t> </w:t>
            </w:r>
            <w:r>
              <w:rPr>
                <w:rFonts w:ascii="Times New Roman;Times;Serif" w:hAnsi="Times New Roman;Times;Serif"/>
                <w:b/>
                <w:sz w:val="20"/>
              </w:rPr>
              <w:t>(c)</w:t>
            </w:r>
          </w:p>
        </w:tc>
      </w:tr>
      <w:tr>
        <w:trPr/>
        <w:tc>
          <w:tcPr>
            <w:tcW w:w="1704" w:type="dxa"/>
            <w:tcBorders>
              <w:bottom w:val="single" w:sz="8" w:space="0" w:color="000000"/>
            </w:tcBorders>
            <w:tcMar>
              <w:bottom w:w="28" w:type="dxa"/>
            </w:tcMar>
            <w:vAlign w:val="center"/>
          </w:tcPr>
          <w:p>
            <w:pPr>
              <w:pStyle w:val="TableContents"/>
              <w:bidi w:val="0"/>
              <w:spacing w:before="0" w:after="283"/>
              <w:jc w:val="left"/>
              <w:rPr>
                <w:b/>
              </w:rPr>
            </w:pPr>
            <w:r>
              <w:rPr>
                <w:b/>
              </w:rPr>
              <w:t>Plan Category</w:t>
            </w:r>
          </w:p>
        </w:tc>
        <w:tc>
          <w:tcPr>
            <w:tcW w:w="60" w:type="dxa"/>
            <w:tcBorders/>
            <w:vAlign w:val="center"/>
          </w:tcPr>
          <w:p>
            <w:pPr>
              <w:pStyle w:val="TableContents"/>
              <w:bidi w:val="0"/>
              <w:spacing w:before="0" w:after="283"/>
              <w:jc w:val="left"/>
              <w:rPr/>
            </w:pPr>
            <w:r>
              <w:rPr/>
              <w:t> </w:t>
            </w:r>
          </w:p>
        </w:tc>
        <w:tc>
          <w:tcPr>
            <w:tcW w:w="2352" w:type="dxa"/>
            <w:gridSpan w:val="3"/>
            <w:tcBorders>
              <w:bottom w:val="single" w:sz="8" w:space="0" w:color="000000"/>
            </w:tcBorders>
            <w:tcMar>
              <w:bottom w:w="28" w:type="dxa"/>
            </w:tcMar>
            <w:vAlign w:val="center"/>
          </w:tcPr>
          <w:p>
            <w:pPr>
              <w:pStyle w:val="TableContents"/>
              <w:bidi w:val="0"/>
              <w:spacing w:before="0" w:after="283"/>
              <w:jc w:val="center"/>
              <w:rPr/>
            </w:pPr>
            <w:r>
              <w:rPr/>
              <w:t> </w:t>
            </w:r>
            <w:r>
              <w:rPr>
                <w:rFonts w:ascii="Times New Roman;Times;Serif" w:hAnsi="Times New Roman;Times;Serif"/>
                <w:b/>
                <w:sz w:val="20"/>
              </w:rPr>
              <w:t>Number of securities to be issued upon exercise of outstanding options, warrants and rights</w:t>
            </w:r>
          </w:p>
        </w:tc>
        <w:tc>
          <w:tcPr>
            <w:tcW w:w="60" w:type="dxa"/>
            <w:tcBorders/>
            <w:vAlign w:val="center"/>
          </w:tcPr>
          <w:p>
            <w:pPr>
              <w:pStyle w:val="TableContents"/>
              <w:bidi w:val="0"/>
              <w:spacing w:before="0" w:after="283"/>
              <w:jc w:val="left"/>
              <w:rPr/>
            </w:pPr>
            <w:r>
              <w:rPr/>
              <w:t> </w:t>
            </w:r>
          </w:p>
        </w:tc>
        <w:tc>
          <w:tcPr>
            <w:tcW w:w="2074" w:type="dxa"/>
            <w:gridSpan w:val="2"/>
            <w:tcBorders>
              <w:bottom w:val="single" w:sz="8" w:space="0" w:color="000000"/>
            </w:tcBorders>
            <w:tcMar>
              <w:bottom w:w="28" w:type="dxa"/>
            </w:tcMar>
            <w:vAlign w:val="center"/>
          </w:tcPr>
          <w:p>
            <w:pPr>
              <w:pStyle w:val="TableContents"/>
              <w:bidi w:val="0"/>
              <w:spacing w:before="0" w:after="283"/>
              <w:jc w:val="center"/>
              <w:rPr/>
            </w:pPr>
            <w:r>
              <w:rPr/>
              <w:t> </w:t>
            </w:r>
            <w:r>
              <w:rPr>
                <w:rFonts w:ascii="Times New Roman;Times;Serif" w:hAnsi="Times New Roman;Times;Serif"/>
                <w:b/>
                <w:sz w:val="20"/>
              </w:rPr>
              <w:t>Weighted - average exercise price of outstanding options, warrants and rights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35" w:type="dxa"/>
            <w:tcBorders>
              <w:bottom w:val="single" w:sz="8" w:space="0" w:color="000000"/>
            </w:tcBorders>
            <w:tcMar>
              <w:bottom w:w="28" w:type="dxa"/>
            </w:tcMar>
            <w:vAlign w:val="center"/>
          </w:tcPr>
          <w:p>
            <w:pPr>
              <w:pStyle w:val="TableContents"/>
              <w:bidi w:val="0"/>
              <w:spacing w:before="0" w:after="283"/>
              <w:jc w:val="center"/>
              <w:rPr>
                <w:b/>
              </w:rPr>
            </w:pPr>
            <w:r>
              <w:rPr>
                <w:b/>
              </w:rPr>
              <w:t>Number of securities remaining available for future issuance under equity compensation plans (excluding securities reflected in column (a))</w:t>
            </w:r>
          </w:p>
        </w:tc>
      </w:tr>
      <w:tr>
        <w:trPr/>
        <w:tc>
          <w:tcPr>
            <w:tcW w:w="1704" w:type="dxa"/>
            <w:tcBorders/>
            <w:shd w:fill="CCEEFF" w:val="clear"/>
            <w:vAlign w:val="center"/>
          </w:tcPr>
          <w:p>
            <w:pPr>
              <w:pStyle w:val="TableContents"/>
              <w:bidi w:val="0"/>
              <w:spacing w:before="0" w:after="283"/>
              <w:jc w:val="left"/>
              <w:rPr/>
            </w:pPr>
            <w:r>
              <w:rPr/>
              <w:t>Plans Approved by Shareholders</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2096" w:type="dxa"/>
            <w:tcBorders/>
            <w:shd w:fill="CCEEFF" w:val="clear"/>
            <w:vAlign w:val="center"/>
          </w:tcPr>
          <w:p>
            <w:pPr>
              <w:pStyle w:val="TableContents"/>
              <w:bidi w:val="0"/>
              <w:spacing w:before="0" w:after="283"/>
              <w:jc w:val="right"/>
              <w:rPr/>
            </w:pPr>
            <w:r>
              <w:rPr/>
              <w:t>2,752,473</w:t>
            </w:r>
          </w:p>
        </w:tc>
        <w:tc>
          <w:tcPr>
            <w:tcW w:w="12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99" w:type="dxa"/>
            <w:tcBorders/>
            <w:shd w:fill="CCEEFF" w:val="clear"/>
            <w:vAlign w:val="center"/>
          </w:tcPr>
          <w:p>
            <w:pPr>
              <w:pStyle w:val="TableContents"/>
              <w:bidi w:val="0"/>
              <w:spacing w:before="0" w:after="283"/>
              <w:jc w:val="left"/>
              <w:rPr/>
            </w:pPr>
            <w:r>
              <w:rPr/>
              <w:t>$</w:t>
            </w:r>
          </w:p>
        </w:tc>
        <w:tc>
          <w:tcPr>
            <w:tcW w:w="1575" w:type="dxa"/>
            <w:tcBorders/>
            <w:shd w:fill="CCEEFF" w:val="clear"/>
            <w:vAlign w:val="center"/>
          </w:tcPr>
          <w:p>
            <w:pPr>
              <w:pStyle w:val="TableContents"/>
              <w:bidi w:val="0"/>
              <w:spacing w:before="0" w:after="283"/>
              <w:jc w:val="right"/>
              <w:rPr/>
            </w:pPr>
            <w:r>
              <w:rPr/>
              <w:t>1.67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35" w:type="dxa"/>
            <w:tcBorders/>
            <w:shd w:fill="CCEEFF" w:val="clear"/>
            <w:vAlign w:val="center"/>
          </w:tcPr>
          <w:p>
            <w:pPr>
              <w:pStyle w:val="TableContents"/>
              <w:bidi w:val="0"/>
              <w:spacing w:before="0" w:after="283"/>
              <w:jc w:val="right"/>
              <w:rPr/>
            </w:pPr>
            <w:r>
              <w:rPr/>
              <w:t>2,956,900</w:t>
            </w:r>
          </w:p>
        </w:tc>
      </w:tr>
      <w:tr>
        <w:trPr/>
        <w:tc>
          <w:tcPr>
            <w:tcW w:w="1704" w:type="dxa"/>
            <w:tcBorders/>
            <w:shd w:fill="FFFFFF" w:val="clear"/>
            <w:vAlign w:val="center"/>
          </w:tcPr>
          <w:p>
            <w:pPr>
              <w:pStyle w:val="TableContents"/>
              <w:bidi w:val="0"/>
              <w:spacing w:before="0" w:after="283"/>
              <w:jc w:val="left"/>
              <w:rPr/>
            </w:pPr>
            <w:r>
              <w:rPr/>
              <w:t>Plans Not Approved by Shareholders</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209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None</w:t>
            </w:r>
          </w:p>
        </w:tc>
        <w:tc>
          <w:tcPr>
            <w:tcW w:w="12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99" w:type="dxa"/>
            <w:tcBorders/>
            <w:shd w:fill="FFFFFF" w:val="clear"/>
            <w:vAlign w:val="center"/>
          </w:tcPr>
          <w:p>
            <w:pPr>
              <w:pStyle w:val="TableContents"/>
              <w:bidi w:val="0"/>
              <w:spacing w:before="0" w:after="283"/>
              <w:jc w:val="left"/>
              <w:rPr/>
            </w:pPr>
            <w:r>
              <w:rPr/>
              <w:t>$</w:t>
            </w:r>
          </w:p>
        </w:tc>
        <w:tc>
          <w:tcPr>
            <w:tcW w:w="157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35" w:type="dxa"/>
            <w:tcBorders/>
            <w:shd w:fill="FFFFFF" w:val="clear"/>
            <w:vAlign w:val="center"/>
          </w:tcPr>
          <w:p>
            <w:pPr>
              <w:pStyle w:val="TableContents"/>
              <w:bidi w:val="0"/>
              <w:spacing w:before="0" w:after="283"/>
              <w:jc w:val="right"/>
              <w:rPr/>
            </w:pPr>
            <w:r>
              <w:rPr/>
              <w:t>None</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SECURITY OWNERSHIP OF MANAGEMENT</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 PRINCIPAL STOCKHOLDERS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as of March 25, 2026 certain information with respect to the beneficial ownership of our common stock by (1) each person known by us to own beneficially more than 5% of the outstanding shares of common stock, (2) each of our directors, (3) each of our named executive officers and (4) all of our named executive officers and directors as a group. There were 70,632,445 shares of common stock outstanding as of March 30,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5293"/>
        <w:gridCol w:w="60"/>
        <w:gridCol w:w="102"/>
        <w:gridCol w:w="1977"/>
        <w:gridCol w:w="234"/>
        <w:gridCol w:w="60"/>
        <w:gridCol w:w="1755"/>
        <w:gridCol w:w="724"/>
      </w:tblGrid>
      <w:tr>
        <w:trPr/>
        <w:tc>
          <w:tcPr>
            <w:tcW w:w="5293" w:type="dxa"/>
            <w:tcBorders>
              <w:bottom w:val="single" w:sz="8" w:space="0" w:color="000000"/>
            </w:tcBorders>
            <w:vAlign w:val="center"/>
          </w:tcPr>
          <w:p>
            <w:pPr>
              <w:pStyle w:val="TableContents"/>
              <w:bidi w:val="0"/>
              <w:spacing w:before="0" w:after="283"/>
              <w:jc w:val="left"/>
              <w:rPr>
                <w:b/>
              </w:rPr>
            </w:pPr>
            <w:r>
              <w:rPr>
                <w:b/>
              </w:rPr>
              <w:t>Name</w:t>
            </w:r>
          </w:p>
        </w:tc>
        <w:tc>
          <w:tcPr>
            <w:tcW w:w="60" w:type="dxa"/>
            <w:tcBorders/>
            <w:tcMar>
              <w:bottom w:w="0" w:type="dxa"/>
            </w:tcMar>
            <w:vAlign w:val="center"/>
          </w:tcPr>
          <w:p>
            <w:pPr>
              <w:pStyle w:val="TableContents"/>
              <w:bidi w:val="0"/>
              <w:spacing w:before="0" w:after="283"/>
              <w:jc w:val="left"/>
              <w:rPr/>
            </w:pPr>
            <w:r>
              <w:rPr/>
              <w:t> </w:t>
            </w:r>
          </w:p>
        </w:tc>
        <w:tc>
          <w:tcPr>
            <w:tcW w:w="2079" w:type="dxa"/>
            <w:gridSpan w:val="2"/>
            <w:tcBorders>
              <w:bottom w:val="single" w:sz="8" w:space="0" w:color="000000"/>
            </w:tcBorders>
            <w:vAlign w:val="center"/>
          </w:tcPr>
          <w:p>
            <w:pPr>
              <w:pStyle w:val="TableContents"/>
              <w:bidi w:val="0"/>
              <w:spacing w:before="0" w:after="283"/>
              <w:jc w:val="center"/>
              <w:rPr>
                <w:b/>
              </w:rPr>
            </w:pPr>
            <w:r>
              <w:rPr>
                <w:b/>
              </w:rPr>
              <w:t>Number of</w:t>
              <w:br/>
              <w:t>Shares</w:t>
              <w:br/>
              <w:t xml:space="preserve">Beneficially Owned </w:t>
            </w:r>
            <w:r>
              <w:rPr>
                <w:b/>
                <w:position w:val="8"/>
                <w:sz w:val="19"/>
              </w:rPr>
              <w:t>(1)</w:t>
            </w:r>
          </w:p>
        </w:tc>
        <w:tc>
          <w:tcPr>
            <w:tcW w:w="234" w:type="dxa"/>
            <w:tcBorders/>
            <w:tcMar>
              <w:bottom w:w="0" w:type="dxa"/>
            </w:tcMar>
            <w:vAlign w:val="center"/>
          </w:tcPr>
          <w:p>
            <w:pPr>
              <w:pStyle w:val="TableContents"/>
              <w:bidi w:val="0"/>
              <w:spacing w:before="0" w:after="283"/>
              <w:jc w:val="left"/>
              <w:rPr>
                <w:position w:val="8"/>
                <w:sz w:val="19"/>
              </w:rPr>
            </w:pPr>
            <w:r>
              <w:rPr>
                <w:position w:val="8"/>
                <w:sz w:val="19"/>
              </w:rPr>
              <w:t> </w:t>
            </w:r>
          </w:p>
        </w:tc>
        <w:tc>
          <w:tcPr>
            <w:tcW w:w="60" w:type="dxa"/>
            <w:tcBorders/>
            <w:tcMar>
              <w:bottom w:w="0" w:type="dxa"/>
            </w:tcMar>
            <w:vAlign w:val="center"/>
          </w:tcPr>
          <w:p>
            <w:pPr>
              <w:pStyle w:val="TableContents"/>
              <w:bidi w:val="0"/>
              <w:spacing w:before="0" w:after="283"/>
              <w:jc w:val="left"/>
              <w:rPr/>
            </w:pPr>
            <w:r>
              <w:rPr/>
              <w:t> </w:t>
            </w:r>
          </w:p>
        </w:tc>
        <w:tc>
          <w:tcPr>
            <w:tcW w:w="2479" w:type="dxa"/>
            <w:gridSpan w:val="2"/>
            <w:tcBorders>
              <w:bottom w:val="single" w:sz="8" w:space="0" w:color="000000"/>
            </w:tcBorders>
            <w:vAlign w:val="center"/>
          </w:tcPr>
          <w:p>
            <w:pPr>
              <w:pStyle w:val="TableContents"/>
              <w:bidi w:val="0"/>
              <w:spacing w:before="0" w:after="283"/>
              <w:jc w:val="center"/>
              <w:rPr>
                <w:b/>
              </w:rPr>
            </w:pPr>
            <w:r>
              <w:rPr>
                <w:b/>
              </w:rPr>
              <w:t>Percent of</w:t>
              <w:br/>
              <w:t>Shares Beneficially Owned</w:t>
            </w:r>
          </w:p>
        </w:tc>
      </w:tr>
      <w:tr>
        <w:trPr/>
        <w:tc>
          <w:tcPr>
            <w:tcW w:w="5293" w:type="dxa"/>
            <w:tcBorders/>
            <w:shd w:fill="CCEEFF" w:val="clear"/>
            <w:tcMar>
              <w:bottom w:w="0" w:type="dxa"/>
            </w:tcMar>
            <w:vAlign w:val="center"/>
          </w:tcPr>
          <w:p>
            <w:pPr>
              <w:pStyle w:val="TableContents"/>
              <w:bidi w:val="0"/>
              <w:spacing w:before="0" w:after="283"/>
              <w:jc w:val="left"/>
              <w:rPr/>
            </w:pPr>
            <w:r>
              <w:rPr/>
              <w:t>Bradford T. Whitmore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1977" w:type="dxa"/>
            <w:tcBorders/>
            <w:shd w:fill="CCEEFF" w:val="clear"/>
            <w:tcMar>
              <w:bottom w:w="0" w:type="dxa"/>
            </w:tcMar>
            <w:vAlign w:val="center"/>
          </w:tcPr>
          <w:p>
            <w:pPr>
              <w:pStyle w:val="TableContents"/>
              <w:bidi w:val="0"/>
              <w:spacing w:before="0" w:after="283"/>
              <w:jc w:val="right"/>
              <w:rPr/>
            </w:pPr>
            <w:r>
              <w:rPr/>
              <w:t xml:space="preserve">49,826,805 </w:t>
            </w:r>
          </w:p>
        </w:tc>
        <w:tc>
          <w:tcPr>
            <w:tcW w:w="234" w:type="dxa"/>
            <w:tcBorders/>
            <w:shd w:fill="CCEEFF" w:val="clear"/>
            <w:tcMar>
              <w:bottom w:w="0" w:type="dxa"/>
            </w:tcMar>
            <w:vAlign w:val="center"/>
          </w:tcPr>
          <w:p>
            <w:pPr>
              <w:pStyle w:val="TableContents"/>
              <w:bidi w:val="0"/>
              <w:spacing w:before="0" w:after="283"/>
              <w:jc w:val="left"/>
              <w:rPr>
                <w:position w:val="8"/>
                <w:sz w:val="19"/>
              </w:rPr>
            </w:pPr>
            <w:r>
              <w:rPr>
                <w:position w:val="8"/>
                <w:sz w:val="19"/>
              </w:rPr>
              <w:t>(2)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55" w:type="dxa"/>
            <w:tcBorders/>
            <w:shd w:fill="CCEEFF" w:val="clear"/>
            <w:tcMar>
              <w:bottom w:w="0" w:type="dxa"/>
            </w:tcMar>
            <w:vAlign w:val="center"/>
          </w:tcPr>
          <w:p>
            <w:pPr>
              <w:pStyle w:val="TableContents"/>
              <w:bidi w:val="0"/>
              <w:spacing w:before="0" w:after="283"/>
              <w:jc w:val="right"/>
              <w:rPr/>
            </w:pPr>
            <w:r>
              <w:rPr/>
              <w:t>70.56</w:t>
            </w:r>
          </w:p>
        </w:tc>
        <w:tc>
          <w:tcPr>
            <w:tcW w:w="724" w:type="dxa"/>
            <w:tcBorders/>
            <w:shd w:fill="CCEEFF" w:val="clear"/>
            <w:tcMar>
              <w:bottom w:w="0" w:type="dxa"/>
            </w:tcMar>
            <w:vAlign w:val="center"/>
          </w:tcPr>
          <w:p>
            <w:pPr>
              <w:pStyle w:val="TableContents"/>
              <w:bidi w:val="0"/>
              <w:spacing w:before="0" w:after="283"/>
              <w:jc w:val="left"/>
              <w:rPr/>
            </w:pPr>
            <w:r>
              <w:rPr/>
              <w:t>%</w:t>
            </w:r>
          </w:p>
        </w:tc>
      </w:tr>
      <w:tr>
        <w:trPr/>
        <w:tc>
          <w:tcPr>
            <w:tcW w:w="5293" w:type="dxa"/>
            <w:tcBorders/>
            <w:shd w:fill="FFFFFF" w:val="clear"/>
            <w:tcMar>
              <w:bottom w:w="0" w:type="dxa"/>
            </w:tcMar>
            <w:vAlign w:val="center"/>
          </w:tcPr>
          <w:p>
            <w:pPr>
              <w:pStyle w:val="TableContents"/>
              <w:bidi w:val="0"/>
              <w:spacing w:before="0" w:after="283"/>
              <w:jc w:val="left"/>
              <w:rPr/>
            </w:pPr>
            <w:r>
              <w:rPr/>
              <w:t>R. Janet Whitmore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2" w:type="dxa"/>
            <w:tcBorders/>
            <w:shd w:fill="FFFFFF" w:val="clear"/>
            <w:tcMar>
              <w:bottom w:w="0" w:type="dxa"/>
            </w:tcMar>
            <w:vAlign w:val="center"/>
          </w:tcPr>
          <w:p>
            <w:pPr>
              <w:pStyle w:val="TableContents"/>
              <w:bidi w:val="0"/>
              <w:spacing w:before="0" w:after="283"/>
              <w:jc w:val="left"/>
              <w:rPr/>
            </w:pPr>
            <w:r>
              <w:rPr/>
              <w:t> </w:t>
            </w:r>
          </w:p>
        </w:tc>
        <w:tc>
          <w:tcPr>
            <w:tcW w:w="1977" w:type="dxa"/>
            <w:tcBorders/>
            <w:shd w:fill="FFFFFF" w:val="clear"/>
            <w:tcMar>
              <w:bottom w:w="0" w:type="dxa"/>
            </w:tcMar>
            <w:vAlign w:val="center"/>
          </w:tcPr>
          <w:p>
            <w:pPr>
              <w:pStyle w:val="TableContents"/>
              <w:bidi w:val="0"/>
              <w:spacing w:before="0" w:after="283"/>
              <w:jc w:val="right"/>
              <w:rPr/>
            </w:pPr>
            <w:r>
              <w:rPr/>
              <w:t>2,134,432</w:t>
            </w:r>
          </w:p>
        </w:tc>
        <w:tc>
          <w:tcPr>
            <w:tcW w:w="234" w:type="dxa"/>
            <w:tcBorders/>
            <w:shd w:fill="FFFFFF" w:val="clear"/>
            <w:tcMar>
              <w:bottom w:w="0" w:type="dxa"/>
            </w:tcMar>
            <w:vAlign w:val="center"/>
          </w:tcPr>
          <w:p>
            <w:pPr>
              <w:pStyle w:val="TableContents"/>
              <w:bidi w:val="0"/>
              <w:spacing w:before="0" w:after="283"/>
              <w:jc w:val="left"/>
              <w:rPr>
                <w:position w:val="8"/>
                <w:sz w:val="19"/>
              </w:rPr>
            </w:pPr>
            <w:r>
              <w:rPr>
                <w:position w:val="8"/>
                <w:sz w:val="19"/>
              </w:rPr>
              <w:t>(3)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55" w:type="dxa"/>
            <w:tcBorders/>
            <w:shd w:fill="FFFFFF" w:val="clear"/>
            <w:tcMar>
              <w:bottom w:w="0" w:type="dxa"/>
            </w:tcMar>
            <w:vAlign w:val="center"/>
          </w:tcPr>
          <w:p>
            <w:pPr>
              <w:pStyle w:val="TableContents"/>
              <w:bidi w:val="0"/>
              <w:spacing w:before="0" w:after="283"/>
              <w:jc w:val="right"/>
              <w:rPr/>
            </w:pPr>
            <w:r>
              <w:rPr/>
              <w:t>3.02</w:t>
            </w:r>
          </w:p>
        </w:tc>
        <w:tc>
          <w:tcPr>
            <w:tcW w:w="724" w:type="dxa"/>
            <w:tcBorders/>
            <w:shd w:fill="FFFFFF" w:val="clear"/>
            <w:tcMar>
              <w:bottom w:w="0" w:type="dxa"/>
            </w:tcMar>
            <w:vAlign w:val="center"/>
          </w:tcPr>
          <w:p>
            <w:pPr>
              <w:pStyle w:val="TableContents"/>
              <w:bidi w:val="0"/>
              <w:spacing w:before="0" w:after="283"/>
              <w:jc w:val="left"/>
              <w:rPr/>
            </w:pPr>
            <w:r>
              <w:rPr/>
              <w:t>%</w:t>
            </w:r>
          </w:p>
        </w:tc>
      </w:tr>
      <w:tr>
        <w:trPr/>
        <w:tc>
          <w:tcPr>
            <w:tcW w:w="5293" w:type="dxa"/>
            <w:tcBorders/>
            <w:shd w:fill="CCEEFF" w:val="clear"/>
            <w:tcMar>
              <w:bottom w:w="0" w:type="dxa"/>
            </w:tcMar>
            <w:vAlign w:val="center"/>
          </w:tcPr>
          <w:p>
            <w:pPr>
              <w:pStyle w:val="TableContents"/>
              <w:bidi w:val="0"/>
              <w:spacing w:before="0" w:after="283"/>
              <w:jc w:val="left"/>
              <w:rPr/>
            </w:pPr>
            <w:r>
              <w:rPr/>
              <w:t>Jess A. Jankowski</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1977" w:type="dxa"/>
            <w:tcBorders/>
            <w:shd w:fill="CCEEFF" w:val="clear"/>
            <w:tcMar>
              <w:bottom w:w="0" w:type="dxa"/>
            </w:tcMar>
            <w:vAlign w:val="center"/>
          </w:tcPr>
          <w:p>
            <w:pPr>
              <w:pStyle w:val="TableContents"/>
              <w:bidi w:val="0"/>
              <w:spacing w:before="0" w:after="283"/>
              <w:jc w:val="right"/>
              <w:rPr/>
            </w:pPr>
            <w:r>
              <w:rPr/>
              <w:t>623,850</w:t>
            </w:r>
          </w:p>
        </w:tc>
        <w:tc>
          <w:tcPr>
            <w:tcW w:w="234" w:type="dxa"/>
            <w:tcBorders/>
            <w:shd w:fill="CCEEFF" w:val="clear"/>
            <w:tcMar>
              <w:bottom w:w="0" w:type="dxa"/>
            </w:tcMar>
            <w:vAlign w:val="center"/>
          </w:tcPr>
          <w:p>
            <w:pPr>
              <w:pStyle w:val="TableContents"/>
              <w:bidi w:val="0"/>
              <w:spacing w:before="0" w:after="283"/>
              <w:jc w:val="left"/>
              <w:rPr>
                <w:position w:val="8"/>
                <w:sz w:val="19"/>
              </w:rPr>
            </w:pPr>
            <w:r>
              <w:rPr>
                <w:position w:val="8"/>
                <w:sz w:val="19"/>
              </w:rPr>
              <w:t>(4)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55" w:type="dxa"/>
            <w:tcBorders/>
            <w:shd w:fill="CCEEFF" w:val="clear"/>
            <w:tcMar>
              <w:bottom w:w="0" w:type="dxa"/>
            </w:tcMar>
            <w:vAlign w:val="center"/>
          </w:tcPr>
          <w:p>
            <w:pPr>
              <w:pStyle w:val="TableContents"/>
              <w:bidi w:val="0"/>
              <w:spacing w:before="0" w:after="283"/>
              <w:jc w:val="right"/>
              <w:rPr/>
            </w:pPr>
            <w:r>
              <w:rPr/>
              <w:t>*</w:t>
            </w:r>
          </w:p>
        </w:tc>
        <w:tc>
          <w:tcPr>
            <w:tcW w:w="724" w:type="dxa"/>
            <w:tcBorders/>
            <w:shd w:fill="CCEEFF" w:val="clear"/>
            <w:tcMar>
              <w:bottom w:w="0" w:type="dxa"/>
            </w:tcMar>
            <w:vAlign w:val="center"/>
          </w:tcPr>
          <w:p>
            <w:pPr>
              <w:pStyle w:val="TableContents"/>
              <w:bidi w:val="0"/>
              <w:spacing w:before="0" w:after="283"/>
              <w:jc w:val="left"/>
              <w:rPr/>
            </w:pPr>
            <w:r>
              <w:rPr/>
              <w:t> </w:t>
            </w:r>
          </w:p>
        </w:tc>
      </w:tr>
      <w:tr>
        <w:trPr/>
        <w:tc>
          <w:tcPr>
            <w:tcW w:w="5293" w:type="dxa"/>
            <w:tcBorders/>
            <w:shd w:fill="FFFFFF" w:val="clear"/>
            <w:tcMar>
              <w:bottom w:w="0" w:type="dxa"/>
            </w:tcMar>
            <w:vAlign w:val="center"/>
          </w:tcPr>
          <w:p>
            <w:pPr>
              <w:pStyle w:val="TableContents"/>
              <w:bidi w:val="0"/>
              <w:spacing w:before="0" w:after="283"/>
              <w:jc w:val="left"/>
              <w:rPr/>
            </w:pPr>
            <w:r>
              <w:rPr/>
              <w:t>Kevin Cureton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2" w:type="dxa"/>
            <w:tcBorders/>
            <w:shd w:fill="FFFFFF" w:val="clear"/>
            <w:tcMar>
              <w:bottom w:w="0" w:type="dxa"/>
            </w:tcMar>
            <w:vAlign w:val="center"/>
          </w:tcPr>
          <w:p>
            <w:pPr>
              <w:pStyle w:val="TableContents"/>
              <w:bidi w:val="0"/>
              <w:spacing w:before="0" w:after="283"/>
              <w:jc w:val="left"/>
              <w:rPr/>
            </w:pPr>
            <w:r>
              <w:rPr/>
              <w:t> </w:t>
            </w:r>
          </w:p>
        </w:tc>
        <w:tc>
          <w:tcPr>
            <w:tcW w:w="1977" w:type="dxa"/>
            <w:tcBorders/>
            <w:shd w:fill="FFFFFF" w:val="clear"/>
            <w:tcMar>
              <w:bottom w:w="0" w:type="dxa"/>
            </w:tcMar>
            <w:vAlign w:val="center"/>
          </w:tcPr>
          <w:p>
            <w:pPr>
              <w:pStyle w:val="TableContents"/>
              <w:bidi w:val="0"/>
              <w:spacing w:before="0" w:after="283"/>
              <w:jc w:val="right"/>
              <w:rPr/>
            </w:pPr>
            <w:r>
              <w:rPr/>
              <w:t>666,812</w:t>
            </w:r>
          </w:p>
        </w:tc>
        <w:tc>
          <w:tcPr>
            <w:tcW w:w="234" w:type="dxa"/>
            <w:tcBorders/>
            <w:shd w:fill="FFFFFF" w:val="clear"/>
            <w:tcMar>
              <w:bottom w:w="0" w:type="dxa"/>
            </w:tcMar>
            <w:vAlign w:val="center"/>
          </w:tcPr>
          <w:p>
            <w:pPr>
              <w:pStyle w:val="TableContents"/>
              <w:bidi w:val="0"/>
              <w:spacing w:before="0" w:after="283"/>
              <w:jc w:val="left"/>
              <w:rPr>
                <w:position w:val="8"/>
                <w:sz w:val="19"/>
              </w:rPr>
            </w:pPr>
            <w:r>
              <w:rPr>
                <w:position w:val="8"/>
                <w:sz w:val="19"/>
              </w:rPr>
              <w:t>(5)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55" w:type="dxa"/>
            <w:tcBorders/>
            <w:shd w:fill="FFFFFF" w:val="clear"/>
            <w:tcMar>
              <w:bottom w:w="0" w:type="dxa"/>
            </w:tcMar>
            <w:vAlign w:val="center"/>
          </w:tcPr>
          <w:p>
            <w:pPr>
              <w:pStyle w:val="TableContents"/>
              <w:bidi w:val="0"/>
              <w:spacing w:before="0" w:after="283"/>
              <w:jc w:val="right"/>
              <w:rPr/>
            </w:pPr>
            <w:r>
              <w:rPr/>
              <w:t>*</w:t>
            </w:r>
          </w:p>
        </w:tc>
        <w:tc>
          <w:tcPr>
            <w:tcW w:w="724" w:type="dxa"/>
            <w:tcBorders/>
            <w:shd w:fill="FFFFFF" w:val="clear"/>
            <w:tcMar>
              <w:bottom w:w="0" w:type="dxa"/>
            </w:tcMar>
            <w:vAlign w:val="center"/>
          </w:tcPr>
          <w:p>
            <w:pPr>
              <w:pStyle w:val="TableContents"/>
              <w:bidi w:val="0"/>
              <w:spacing w:before="0" w:after="283"/>
              <w:jc w:val="left"/>
              <w:rPr/>
            </w:pPr>
            <w:r>
              <w:rPr/>
              <w:t> </w:t>
            </w:r>
          </w:p>
        </w:tc>
      </w:tr>
      <w:tr>
        <w:trPr/>
        <w:tc>
          <w:tcPr>
            <w:tcW w:w="5293" w:type="dxa"/>
            <w:tcBorders/>
            <w:shd w:fill="CCEEFF" w:val="clear"/>
            <w:tcMar>
              <w:bottom w:w="0" w:type="dxa"/>
            </w:tcMar>
            <w:vAlign w:val="center"/>
          </w:tcPr>
          <w:p>
            <w:pPr>
              <w:pStyle w:val="TableContents"/>
              <w:bidi w:val="0"/>
              <w:spacing w:before="0" w:after="283"/>
              <w:jc w:val="left"/>
              <w:rPr/>
            </w:pPr>
            <w:r>
              <w:rPr/>
              <w:t>Beres, Laura M</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1977" w:type="dxa"/>
            <w:tcBorders/>
            <w:shd w:fill="CCEEFF" w:val="clear"/>
            <w:tcMar>
              <w:bottom w:w="0" w:type="dxa"/>
            </w:tcMar>
            <w:vAlign w:val="center"/>
          </w:tcPr>
          <w:p>
            <w:pPr>
              <w:pStyle w:val="TableContents"/>
              <w:bidi w:val="0"/>
              <w:spacing w:before="0" w:after="283"/>
              <w:jc w:val="right"/>
              <w:rPr/>
            </w:pPr>
            <w:r>
              <w:rPr/>
              <w:t>51,400</w:t>
            </w:r>
          </w:p>
        </w:tc>
        <w:tc>
          <w:tcPr>
            <w:tcW w:w="234" w:type="dxa"/>
            <w:tcBorders/>
            <w:shd w:fill="CCEEFF" w:val="clear"/>
            <w:tcMar>
              <w:bottom w:w="0" w:type="dxa"/>
            </w:tcMar>
            <w:vAlign w:val="center"/>
          </w:tcPr>
          <w:p>
            <w:pPr>
              <w:pStyle w:val="TableContents"/>
              <w:bidi w:val="0"/>
              <w:spacing w:before="0" w:after="283"/>
              <w:jc w:val="left"/>
              <w:rPr>
                <w:position w:val="8"/>
                <w:sz w:val="19"/>
              </w:rPr>
            </w:pPr>
            <w:r>
              <w:rPr>
                <w:position w:val="8"/>
                <w:sz w:val="19"/>
              </w:rPr>
              <w:t>(6)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55" w:type="dxa"/>
            <w:tcBorders/>
            <w:shd w:fill="CCEEFF" w:val="clear"/>
            <w:tcMar>
              <w:bottom w:w="0" w:type="dxa"/>
            </w:tcMar>
            <w:vAlign w:val="center"/>
          </w:tcPr>
          <w:p>
            <w:pPr>
              <w:pStyle w:val="TableContents"/>
              <w:bidi w:val="0"/>
              <w:spacing w:before="0" w:after="283"/>
              <w:jc w:val="right"/>
              <w:rPr/>
            </w:pPr>
            <w:r>
              <w:rPr/>
              <w:t>*</w:t>
            </w:r>
          </w:p>
        </w:tc>
        <w:tc>
          <w:tcPr>
            <w:tcW w:w="724" w:type="dxa"/>
            <w:tcBorders/>
            <w:shd w:fill="CCEEFF" w:val="clear"/>
            <w:tcMar>
              <w:bottom w:w="0" w:type="dxa"/>
            </w:tcMar>
            <w:vAlign w:val="center"/>
          </w:tcPr>
          <w:p>
            <w:pPr>
              <w:pStyle w:val="TableContents"/>
              <w:bidi w:val="0"/>
              <w:spacing w:before="0" w:after="283"/>
              <w:jc w:val="left"/>
              <w:rPr/>
            </w:pPr>
            <w:r>
              <w:rPr/>
              <w:t> </w:t>
            </w:r>
          </w:p>
        </w:tc>
      </w:tr>
      <w:tr>
        <w:trPr/>
        <w:tc>
          <w:tcPr>
            <w:tcW w:w="5293" w:type="dxa"/>
            <w:tcBorders/>
            <w:shd w:fill="FFFFFF" w:val="clear"/>
            <w:tcMar>
              <w:bottom w:w="0" w:type="dxa"/>
            </w:tcMar>
            <w:vAlign w:val="center"/>
          </w:tcPr>
          <w:p>
            <w:pPr>
              <w:pStyle w:val="TableContents"/>
              <w:bidi w:val="0"/>
              <w:spacing w:before="0" w:after="283"/>
              <w:jc w:val="left"/>
              <w:rPr/>
            </w:pPr>
            <w:r>
              <w:rPr/>
              <w:t>Miller, Mark 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2" w:type="dxa"/>
            <w:tcBorders/>
            <w:shd w:fill="FFFFFF" w:val="clear"/>
            <w:tcMar>
              <w:bottom w:w="0" w:type="dxa"/>
            </w:tcMar>
            <w:vAlign w:val="center"/>
          </w:tcPr>
          <w:p>
            <w:pPr>
              <w:pStyle w:val="TableContents"/>
              <w:bidi w:val="0"/>
              <w:spacing w:before="0" w:after="283"/>
              <w:jc w:val="left"/>
              <w:rPr/>
            </w:pPr>
            <w:r>
              <w:rPr/>
              <w:t> </w:t>
            </w:r>
          </w:p>
        </w:tc>
        <w:tc>
          <w:tcPr>
            <w:tcW w:w="1977" w:type="dxa"/>
            <w:tcBorders/>
            <w:shd w:fill="FFFFFF" w:val="clear"/>
            <w:tcMar>
              <w:bottom w:w="0" w:type="dxa"/>
            </w:tcMar>
            <w:vAlign w:val="center"/>
          </w:tcPr>
          <w:p>
            <w:pPr>
              <w:pStyle w:val="TableContents"/>
              <w:bidi w:val="0"/>
              <w:spacing w:before="0" w:after="283"/>
              <w:jc w:val="right"/>
              <w:rPr/>
            </w:pPr>
            <w:r>
              <w:rPr/>
              <w:t>18,066</w:t>
            </w:r>
          </w:p>
        </w:tc>
        <w:tc>
          <w:tcPr>
            <w:tcW w:w="234" w:type="dxa"/>
            <w:tcBorders/>
            <w:shd w:fill="FFFFFF" w:val="clear"/>
            <w:tcMar>
              <w:bottom w:w="0" w:type="dxa"/>
            </w:tcMar>
            <w:vAlign w:val="center"/>
          </w:tcPr>
          <w:p>
            <w:pPr>
              <w:pStyle w:val="TableContents"/>
              <w:bidi w:val="0"/>
              <w:spacing w:before="0" w:after="283"/>
              <w:jc w:val="left"/>
              <w:rPr>
                <w:position w:val="8"/>
                <w:sz w:val="19"/>
              </w:rPr>
            </w:pPr>
            <w:r>
              <w:rPr>
                <w:position w:val="8"/>
                <w:sz w:val="19"/>
              </w:rPr>
              <w:t>(7)</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55" w:type="dxa"/>
            <w:tcBorders/>
            <w:shd w:fill="FFFFFF" w:val="clear"/>
            <w:tcMar>
              <w:bottom w:w="0" w:type="dxa"/>
            </w:tcMar>
            <w:vAlign w:val="center"/>
          </w:tcPr>
          <w:p>
            <w:pPr>
              <w:pStyle w:val="TableContents"/>
              <w:bidi w:val="0"/>
              <w:spacing w:before="0" w:after="283"/>
              <w:jc w:val="right"/>
              <w:rPr/>
            </w:pPr>
            <w:r>
              <w:rPr/>
              <w:t>*</w:t>
            </w:r>
          </w:p>
        </w:tc>
        <w:tc>
          <w:tcPr>
            <w:tcW w:w="724" w:type="dxa"/>
            <w:tcBorders/>
            <w:shd w:fill="FFFFFF" w:val="clear"/>
            <w:tcMar>
              <w:bottom w:w="0" w:type="dxa"/>
            </w:tcMar>
            <w:vAlign w:val="center"/>
          </w:tcPr>
          <w:p>
            <w:pPr>
              <w:pStyle w:val="TableContents"/>
              <w:bidi w:val="0"/>
              <w:spacing w:before="0" w:after="283"/>
              <w:jc w:val="left"/>
              <w:rPr/>
            </w:pPr>
            <w:r>
              <w:rPr/>
              <w:t> </w:t>
            </w:r>
          </w:p>
        </w:tc>
      </w:tr>
      <w:tr>
        <w:trPr/>
        <w:tc>
          <w:tcPr>
            <w:tcW w:w="5293" w:type="dxa"/>
            <w:tcBorders/>
            <w:shd w:fill="CCEEFF" w:val="clear"/>
            <w:tcMar>
              <w:bottom w:w="0" w:type="dxa"/>
            </w:tcMar>
            <w:vAlign w:val="center"/>
          </w:tcPr>
          <w:p>
            <w:pPr>
              <w:pStyle w:val="TableContents"/>
              <w:bidi w:val="0"/>
              <w:spacing w:before="0" w:after="283"/>
              <w:jc w:val="left"/>
              <w:rPr/>
            </w:pPr>
            <w:r>
              <w:rPr/>
              <w:t>Riffner, Laura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1977" w:type="dxa"/>
            <w:tcBorders/>
            <w:shd w:fill="CCEEFF" w:val="clear"/>
            <w:tcMar>
              <w:bottom w:w="0" w:type="dxa"/>
            </w:tcMar>
            <w:vAlign w:val="center"/>
          </w:tcPr>
          <w:p>
            <w:pPr>
              <w:pStyle w:val="TableContents"/>
              <w:bidi w:val="0"/>
              <w:spacing w:before="0" w:after="283"/>
              <w:jc w:val="right"/>
              <w:rPr/>
            </w:pPr>
            <w:r>
              <w:rPr/>
              <w:t>-0-</w:t>
            </w:r>
          </w:p>
        </w:tc>
        <w:tc>
          <w:tcPr>
            <w:tcW w:w="234" w:type="dxa"/>
            <w:tcBorders/>
            <w:shd w:fill="CCEEFF" w:val="clear"/>
            <w:tcMar>
              <w:bottom w:w="0" w:type="dxa"/>
            </w:tcMar>
            <w:vAlign w:val="center"/>
          </w:tcPr>
          <w:p>
            <w:pPr>
              <w:pStyle w:val="TableContents"/>
              <w:bidi w:val="0"/>
              <w:spacing w:before="0" w:after="283"/>
              <w:jc w:val="left"/>
              <w:rPr>
                <w:position w:val="8"/>
                <w:sz w:val="19"/>
              </w:rPr>
            </w:pPr>
            <w:r>
              <w:rPr>
                <w:position w:val="8"/>
                <w:sz w:val="19"/>
              </w:rPr>
              <w:t>(8)</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55" w:type="dxa"/>
            <w:tcBorders/>
            <w:shd w:fill="CCEEFF" w:val="clear"/>
            <w:tcMar>
              <w:bottom w:w="0" w:type="dxa"/>
            </w:tcMar>
            <w:vAlign w:val="center"/>
          </w:tcPr>
          <w:p>
            <w:pPr>
              <w:pStyle w:val="TableContents"/>
              <w:bidi w:val="0"/>
              <w:spacing w:before="0" w:after="283"/>
              <w:jc w:val="right"/>
              <w:rPr/>
            </w:pPr>
            <w:r>
              <w:rPr/>
              <w:t>*</w:t>
            </w:r>
          </w:p>
        </w:tc>
        <w:tc>
          <w:tcPr>
            <w:tcW w:w="724" w:type="dxa"/>
            <w:tcBorders/>
            <w:shd w:fill="CCEEFF" w:val="clear"/>
            <w:tcMar>
              <w:bottom w:w="0" w:type="dxa"/>
            </w:tcMar>
            <w:vAlign w:val="center"/>
          </w:tcPr>
          <w:p>
            <w:pPr>
              <w:pStyle w:val="TableContents"/>
              <w:bidi w:val="0"/>
              <w:spacing w:before="0" w:after="283"/>
              <w:jc w:val="left"/>
              <w:rPr/>
            </w:pPr>
            <w:r>
              <w:rPr/>
              <w:t> </w:t>
            </w:r>
          </w:p>
        </w:tc>
      </w:tr>
      <w:tr>
        <w:trPr/>
        <w:tc>
          <w:tcPr>
            <w:tcW w:w="5293" w:type="dxa"/>
            <w:tcBorders/>
            <w:shd w:fill="FFFFFF" w:val="clear"/>
            <w:tcMar>
              <w:bottom w:w="0" w:type="dxa"/>
            </w:tcMar>
            <w:vAlign w:val="center"/>
          </w:tcPr>
          <w:p>
            <w:pPr>
              <w:pStyle w:val="TableContents"/>
              <w:bidi w:val="0"/>
              <w:spacing w:before="0" w:after="283"/>
              <w:jc w:val="left"/>
              <w:rPr/>
            </w:pPr>
            <w:r>
              <w:rPr/>
              <w:t>All current executive officers and directors as a group (6 persons)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2" w:type="dxa"/>
            <w:tcBorders/>
            <w:shd w:fill="FFFFFF" w:val="clear"/>
            <w:tcMar>
              <w:bottom w:w="0" w:type="dxa"/>
            </w:tcMar>
            <w:vAlign w:val="center"/>
          </w:tcPr>
          <w:p>
            <w:pPr>
              <w:pStyle w:val="TableContents"/>
              <w:bidi w:val="0"/>
              <w:spacing w:before="0" w:after="283"/>
              <w:jc w:val="left"/>
              <w:rPr/>
            </w:pPr>
            <w:r>
              <w:rPr/>
              <w:t> </w:t>
            </w:r>
          </w:p>
        </w:tc>
        <w:tc>
          <w:tcPr>
            <w:tcW w:w="1977" w:type="dxa"/>
            <w:tcBorders/>
            <w:shd w:fill="FFFFFF" w:val="clear"/>
            <w:tcMar>
              <w:bottom w:w="0" w:type="dxa"/>
            </w:tcMar>
            <w:vAlign w:val="center"/>
          </w:tcPr>
          <w:p>
            <w:pPr>
              <w:pStyle w:val="TableContents"/>
              <w:bidi w:val="0"/>
              <w:spacing w:before="0" w:after="283"/>
              <w:jc w:val="right"/>
              <w:rPr/>
            </w:pPr>
            <w:r>
              <w:rPr/>
              <w:t>3,494,560</w:t>
            </w:r>
          </w:p>
        </w:tc>
        <w:tc>
          <w:tcPr>
            <w:tcW w:w="234" w:type="dxa"/>
            <w:tcBorders/>
            <w:shd w:fill="FFFFFF" w:val="clear"/>
            <w:tcMar>
              <w:bottom w:w="0" w:type="dxa"/>
            </w:tcMar>
            <w:vAlign w:val="center"/>
          </w:tcPr>
          <w:p>
            <w:pPr>
              <w:pStyle w:val="TableContents"/>
              <w:bidi w:val="0"/>
              <w:spacing w:before="0" w:after="283"/>
              <w:jc w:val="left"/>
              <w:rPr>
                <w:position w:val="8"/>
                <w:sz w:val="19"/>
              </w:rPr>
            </w:pPr>
            <w:r>
              <w:rPr>
                <w:position w:val="8"/>
                <w:sz w:val="19"/>
              </w:rPr>
              <w:t>(9)</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55" w:type="dxa"/>
            <w:tcBorders/>
            <w:shd w:fill="FFFFFF" w:val="clear"/>
            <w:tcMar>
              <w:bottom w:w="0" w:type="dxa"/>
            </w:tcMar>
            <w:vAlign w:val="center"/>
          </w:tcPr>
          <w:p>
            <w:pPr>
              <w:pStyle w:val="TableContents"/>
              <w:bidi w:val="0"/>
              <w:spacing w:before="0" w:after="283"/>
              <w:jc w:val="right"/>
              <w:rPr/>
            </w:pPr>
            <w:r>
              <w:rPr/>
              <w:t>4.88</w:t>
            </w:r>
          </w:p>
        </w:tc>
        <w:tc>
          <w:tcPr>
            <w:tcW w:w="724" w:type="dxa"/>
            <w:tcBorders/>
            <w:shd w:fill="FFFFFF" w:val="clear"/>
            <w:tcMar>
              <w:bottom w:w="0" w:type="dxa"/>
            </w:tcMar>
            <w:vAlign w:val="center"/>
          </w:tcPr>
          <w:p>
            <w:pPr>
              <w:pStyle w:val="TableContents"/>
              <w:bidi w:val="0"/>
              <w:spacing w:before="0" w:after="283"/>
              <w:jc w:val="left"/>
              <w:rPr/>
            </w:pPr>
            <w:r>
              <w:rPr/>
              <w: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*Denotes beneficial ownership of less than one percent.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below, the person’s address is the same as the address for the Company.</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ownership is determined in accordance with the rules of the SEC. Unless otherwise indicated below, the persons in the above table have sole voting and investment power with respect to all shares of common stock shown as beneficially owned by them.</w:t>
            </w:r>
          </w:p>
        </w:tc>
      </w:tr>
      <w:tr>
        <w:trPr/>
        <w:tc>
          <w:tcPr>
            <w:tcW w:w="2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9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18,669,879 shares of common stock held by Whitmore Holdings, LLC, 675,515 shares of common stock held by Grace Investments, LP, 30,373,270 shares of common stock held by Strandler, LLC and 108,141 shares held by Bradford T. Whitmore.  Mr. Whitmore is a manager of Whitmore Holdings, LLC.  In such capacities, Mr. Whitmore shares voting and investment power with respect to the shares of common stock held by Whitmore Holdings, LLC.  Mr. Whitmore is a manager of Strandler, LLC.  In such capacities, Mr. Whitmore shares voting and investment power with respect to the shares of common stock held by Strandler, LLC.  Mr. Whitmore is a general partner of Grace Investments, LP.  In such capacities, Mr. Whitmore shares voting and investment power with respect to the shares of common stock held by the Grace Investments, LP.  This information is based on information reported on a Form 4 filed on May 29, 2025 with the SEC. The address of the stockholder is 5215 Old Orchard Road Suite 620, Illinois 60077.</w:t>
            </w:r>
          </w:p>
        </w:tc>
      </w:tr>
      <w:tr>
        <w:trPr/>
        <w:tc>
          <w:tcPr>
            <w:tcW w:w="2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9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Ms. Whitmore’s 47,734 shares of common stock issuable upon exercise of options exercisable currently or within 60 days of March 25, 2026.</w:t>
            </w:r>
          </w:p>
        </w:tc>
      </w:tr>
      <w:tr>
        <w:trPr/>
        <w:tc>
          <w:tcPr>
            <w:tcW w:w="2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9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Includes Mr. Jankowski’s 414,400 shares of common stock issuable upon exercise of options exercisable currently or within 60 days of March 25, 2026, as well as 1,000 shares held by his spouse. </w:t>
            </w:r>
          </w:p>
        </w:tc>
      </w:tr>
      <w:tr>
        <w:trPr/>
        <w:tc>
          <w:tcPr>
            <w:tcW w:w="2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9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Mr. Cureton’s 474,600 shares of common stock issuable upon exercise of options exercisable currently or within 60 days of March 25, 2026.</w:t>
            </w:r>
          </w:p>
        </w:tc>
      </w:tr>
      <w:tr>
        <w:trPr/>
        <w:tc>
          <w:tcPr>
            <w:tcW w:w="2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999" w:type="dxa"/>
            <w:tcBorders/>
            <w:vAlign w:val="center"/>
          </w:tcPr>
          <w:p>
            <w:pPr>
              <w:pStyle w:val="TableContents"/>
              <w:pBdr/>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Ms. Beres’ 51,400 shares of common stock issuable upon exercise of options exercisable currently or within 60 days of March 25, 2026.</w:t>
            </w:r>
          </w:p>
        </w:tc>
      </w:tr>
      <w:tr>
        <w:trPr/>
        <w:tc>
          <w:tcPr>
            <w:tcW w:w="2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9999" w:type="dxa"/>
            <w:tcBorders/>
            <w:vAlign w:val="center"/>
          </w:tcPr>
          <w:p>
            <w:pPr>
              <w:pStyle w:val="TableContents"/>
              <w:pBdr/>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Mr. Miller’s 18,086 shares of common stock issuable upon exercise of options exercisable currently or within 60 days of March 25, 2026.</w:t>
            </w:r>
          </w:p>
        </w:tc>
      </w:tr>
      <w:tr>
        <w:trPr/>
        <w:tc>
          <w:tcPr>
            <w:tcW w:w="2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9999" w:type="dxa"/>
            <w:tcBorders/>
            <w:vAlign w:val="center"/>
          </w:tcPr>
          <w:p>
            <w:pPr>
              <w:pStyle w:val="TableContents"/>
              <w:pBdr/>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Ms. Riffner’s 0 shares of common stock issuable upon exercise of options exercisable currently or within 60 days of March 25, 2026</w:t>
            </w:r>
          </w:p>
        </w:tc>
      </w:tr>
      <w:tr>
        <w:trPr/>
        <w:tc>
          <w:tcPr>
            <w:tcW w:w="2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999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all current executive officers and directors as a group’s 1,006,200 shares of common stock issuable upon exercise of options exercisable currently or within 60 days of March 25, 2026.</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23</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jc w:val="left"/>
        <w:rPr>
          <w:caps w:val="false"/>
          <w:smallCaps w:val="false"/>
        </w:rPr>
      </w:pPr>
      <w:r>
        <w:rPr>
          <w:caps w:val="false"/>
          <w:smallCaps w:val="false"/>
        </w:rPr>
        <w:t> </w:t>
      </w:r>
      <w:bookmarkStart w:id="80" w:name="solesence10ka041"/>
      <w:bookmarkEnd w:id="80"/>
      <w:r>
        <w:rPr>
          <w:rFonts w:ascii="Times New Roman;Times;Serif" w:hAnsi="Times New Roman;Times;Serif"/>
          <w:b/>
          <w:i w:val="false"/>
          <w:caps w:val="false"/>
          <w:smallCaps w:val="false"/>
          <w:sz w:val="20"/>
        </w:rPr>
        <w:t>Item 13. Certain Relationships and Related Transactions, and Director Independence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engaged in a series of debt and equity transactions with Bradford T. Whitmore since January 1, 2023, as described above in Item 7. Together with his affiliates Grace Brothers, Ltd., Grace Investments, Ltd., Mr. Whitmore beneficially owned approximately 71% of the outstanding shares of our common stock as of March 25, 2026. Mr. Whitmore is the brother of R. Janet Whitmore, who has been the Chair of the Board of Directors since November 19, 2019 and one of our directors since 2003, and who is also a stockholder. Through his affiliates Beachcorp, LLC and Strandler, LLC, Mr. Whitmore is also a substantial lender to the Company under the Business Loan Agreements, described in Note 3) to our financial statements included in this Annual Report on Form 10-K.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r>
        <w:rPr>
          <w:rFonts w:ascii="Times New Roman;Times;Serif" w:hAnsi="Times New Roman;Times;Serif"/>
          <w:b/>
          <w:i w:val="false"/>
          <w:caps w:val="false"/>
          <w:smallCaps w:val="false"/>
          <w:sz w:val="20"/>
        </w:rPr>
        <w:t>Director Independence</w:t>
      </w:r>
      <w:r>
        <w:rPr>
          <w:rFonts w:ascii="Times New Roman;Times;Serif" w:hAnsi="Times New Roman;Times;Serif"/>
          <w:b w:val="false"/>
          <w:i w:val="false"/>
          <w:caps w:val="false"/>
          <w:smallCaps w:val="false"/>
          <w:sz w:val="20"/>
        </w:rPr>
        <w:t>. The Board of Directors has determined that the following Company directors are “independent” as that term is defined in the rules and regulations of the SEC and the Nasdaq Stock Market: Ms. Beres and Mr. Miller. Our Board of Directors used the Nasdaq listing standards in making its independence determinations. Under the Nasdaq Stock Market rules, the Company qualifies as a “controlled company” because of the direct and indirect ownership of Bradford T. Whitmore. As a controlled company, the Company is exempt from the requirements under those rules to have a majority of independent directors, to have an independent compensation committee, or to have independent director oversight of director nominations.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has established an Audit and Finance Committee, Compensation Committee and Nominating and Corporate Governance Committee (the “Standing Committees”). Ms. Whitmore, Ms. Beres, and Mr. Miller are members of the Standing Committees (except that Ms. Whitmore is not a member of the Audit and Finance Committee), and Ms. Whitmore serves as Chair of Compensation, Nominating and Corporate Governance Committees. Ms Beres serves as Chair of the Audit and Finance Committee.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bookmarkStart w:id="81" w:name="solesence10ka042"/>
      <w:bookmarkEnd w:id="81"/>
      <w:r>
        <w:rPr>
          <w:rFonts w:ascii="Times New Roman;Times;Serif" w:hAnsi="Times New Roman;Times;Serif"/>
          <w:b/>
          <w:i w:val="false"/>
          <w:caps w:val="false"/>
          <w:smallCaps w:val="false"/>
          <w:sz w:val="20"/>
        </w:rPr>
        <w:t>Item 14. Principal Accounting Fees and Services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Audit Fees</w:t>
      </w:r>
      <w:r>
        <w:rPr>
          <w:rFonts w:ascii="Times New Roman;Times;Serif" w:hAnsi="Times New Roman;Times;Serif"/>
          <w:b w:val="false"/>
          <w:i w:val="false"/>
          <w:caps w:val="false"/>
          <w:smallCaps w:val="false"/>
          <w:sz w:val="20"/>
        </w:rPr>
        <w:t>. The aggregate amount billed by our principal accountant, RSM US LLP (“RSM”), for audit services performed for the fiscal years ended December 31, 2025 and 2024 was $298,000 and $270,000 respectively. Audit services include the auditing of financial statements and quarterly reviews.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Audit Related Fees</w:t>
      </w:r>
      <w:r>
        <w:rPr>
          <w:rFonts w:ascii="Times New Roman;Times;Serif" w:hAnsi="Times New Roman;Times;Serif"/>
          <w:b w:val="false"/>
          <w:i w:val="false"/>
          <w:caps w:val="false"/>
          <w:smallCaps w:val="false"/>
          <w:sz w:val="20"/>
        </w:rPr>
        <w:t>. There were approximately $21,000 and $26,000 respectively in audit related fees billed by RSM for the years ended December 31, 2025 and 2024, which may include costs incurred for reviews of registration statements, assistance with Staff comment letters, and consultation on various accounting matters in support of our financial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Tax Fees</w:t>
      </w:r>
      <w:r>
        <w:rPr>
          <w:rFonts w:ascii="Times New Roman;Times;Serif" w:hAnsi="Times New Roman;Times;Serif"/>
          <w:b w:val="false"/>
          <w:i w:val="false"/>
          <w:caps w:val="false"/>
          <w:smallCaps w:val="false"/>
          <w:sz w:val="20"/>
        </w:rPr>
        <w:t>. There were no fees billed by our principal accountant for tax related services for the fiscal years ended December 31, 2025 and 2024.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All Other Fees</w:t>
      </w:r>
      <w:r>
        <w:rPr>
          <w:rFonts w:ascii="Times New Roman;Times;Serif" w:hAnsi="Times New Roman;Times;Serif"/>
          <w:b w:val="false"/>
          <w:i w:val="false"/>
          <w:caps w:val="false"/>
          <w:smallCaps w:val="false"/>
          <w:sz w:val="20"/>
        </w:rPr>
        <w:t>. Other than those fees described above, during the fiscal years ended December 31, 2025 and 2024, there were no other fees billed for services performed by our principal accountant.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55"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the fees described above were approved by our Audit and Finance Committee.</w:t>
      </w:r>
    </w:p>
    <w:p>
      <w:pPr>
        <w:pStyle w:val="TextBody"/>
        <w:bidi w:val="0"/>
        <w:spacing w:before="0" w:after="0"/>
        <w:ind w:left="755"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Audit and Finance Committee Pre-Approval Policies and Procedures</w:t>
      </w:r>
      <w:r>
        <w:rPr>
          <w:rFonts w:ascii="Times New Roman;Times;Serif" w:hAnsi="Times New Roman;Times;Serif"/>
          <w:b w:val="false"/>
          <w:i w:val="false"/>
          <w:caps w:val="false"/>
          <w:smallCaps w:val="false"/>
          <w:sz w:val="20"/>
        </w:rPr>
        <w:t>. Our Audit and Finance Committee pre-approves the audit and non-audit services performed by RSM, our principal accountants, in order to assure that the provision of such services does not impair RSM’s independence. Unless a type of service to be provided by RSM has received general pre-approval, it will require specific pre-approval by the Audit and Finance Committee. In addition, any proposed services exceeding pre-approval cost levels or budgeted amounts will require specific pre-approval by the Audit and Finance Committee.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of any pre-approval is 12 months from the date of pre-approval, unless the Audit and Finance Committee specifically provides for a different period. The Audit and Finance Committee will periodically revise the list of pre-approved services, based on subsequent determinations, and has delegated pre-approval authority to the Chairman of the Audit and Finance Committee. In the event the Chairman exercises such delegated authority, she shall report such pre-approval decisions to the Audit and Finance Committee at its next scheduled meeting. The Audit and Finance Committee does not delegate its responsibilities to pre-approve services performed by the independent auditor to management.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i w:val="false"/>
          <w:caps w:val="false"/>
          <w:smallCaps w:val="false"/>
          <w:sz w:val="20"/>
        </w:rPr>
      </w:pPr>
      <w:bookmarkStart w:id="82" w:name="solesence10ka043"/>
      <w:bookmarkEnd w:id="82"/>
      <w:r>
        <w:rPr>
          <w:rFonts w:ascii="Times New Roman;Times;Serif" w:hAnsi="Times New Roman;Times;Serif"/>
          <w:b/>
          <w:i w:val="false"/>
          <w:caps w:val="false"/>
          <w:smallCaps w:val="false"/>
          <w:sz w:val="20"/>
        </w:rPr>
        <w:t>PART IV</w:t>
      </w:r>
    </w:p>
    <w:p>
      <w:pPr>
        <w:pStyle w:val="TextBody"/>
        <w:bidi w:val="0"/>
        <w:spacing w:before="0" w:after="0"/>
        <w:ind w:left="0" w:right="0" w:firstLine="72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bookmarkStart w:id="83" w:name="solesence10ka044"/>
      <w:bookmarkEnd w:id="83"/>
      <w:r>
        <w:rPr>
          <w:rFonts w:ascii="Times New Roman;Times;Serif" w:hAnsi="Times New Roman;Times;Serif"/>
          <w:b/>
          <w:i w:val="false"/>
          <w:caps w:val="false"/>
          <w:smallCaps w:val="false"/>
          <w:sz w:val="20"/>
        </w:rPr>
        <w:t>Item 15. Exhibits and Financial Statement Schedules</w:t>
      </w:r>
    </w:p>
    <w:p>
      <w:pPr>
        <w:pStyle w:val="TextBody"/>
        <w:bidi w:val="0"/>
        <w:spacing w:before="0" w:after="0"/>
        <w:jc w:val="left"/>
        <w:rPr>
          <w:caps w:val="false"/>
          <w:smallCaps w:val="false"/>
        </w:rPr>
      </w:pPr>
      <w:r>
        <w:rPr>
          <w:caps w:val="false"/>
          <w:smallCaps w:val="false"/>
        </w:rPr>
        <w:t> </w:t>
      </w:r>
    </w:p>
    <w:tbl>
      <w:tblPr>
        <w:tblW w:w="5170" w:type="dxa"/>
        <w:jc w:val="left"/>
        <w:tblInd w:w="0" w:type="dxa"/>
        <w:tblLayout w:type="fixed"/>
        <w:tblCellMar>
          <w:top w:w="0" w:type="dxa"/>
          <w:left w:w="0" w:type="dxa"/>
          <w:bottom w:w="0" w:type="dxa"/>
          <w:right w:w="0" w:type="dxa"/>
        </w:tblCellMar>
      </w:tblPr>
      <w:tblGrid>
        <w:gridCol w:w="245"/>
        <w:gridCol w:w="4925"/>
      </w:tblGrid>
      <w:tr>
        <w:trPr/>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4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documents are filed as part of this Form 10-K:</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60"/>
        <w:gridCol w:w="997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financial statements of the Company, with the report of independent registered public accounting firm, are filed as part of this Form 10-K:</w:t>
            </w:r>
          </w:p>
        </w:tc>
      </w:tr>
    </w:tbl>
    <w:p>
      <w:pPr>
        <w:pStyle w:val="TextBody"/>
        <w:bidi w:val="0"/>
        <w:spacing w:before="0" w:after="283"/>
        <w:jc w:val="left"/>
        <w:rPr/>
      </w:pPr>
      <w:r>
        <w:rPr/>
        <w:t> </w:t>
      </w:r>
    </w:p>
    <w:p>
      <w:pPr>
        <w:pStyle w:val="TextBody"/>
        <w:bidi w:val="0"/>
        <w:spacing w:before="0" w:after="0"/>
        <w:ind w:left="18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Report of Independent Registered Public Accounting Firm</w:t>
        <w:br/>
        <w:t>Consolidated Balance Sheets as of December 31, 2025 and 2024</w:t>
        <w:br/>
        <w:t>Consolidated Statements of Operations for the Years Ended December 31, 2025 and 2024</w:t>
        <w:br/>
        <w:t>Consolidated Statements of Stockholders’ Equity for the Years Ended December 31, 2025 and 2024</w:t>
        <w:br/>
        <w:t>Consolidated Statements of Cash Flows for the Years Ended December 31, 2025 and 2024</w:t>
      </w:r>
    </w:p>
    <w:p>
      <w:pPr>
        <w:pStyle w:val="TextBody"/>
        <w:bidi w:val="0"/>
        <w:spacing w:before="0" w:after="0"/>
        <w:ind w:left="1800" w:right="0" w:hanging="0"/>
        <w:jc w:val="left"/>
        <w:rPr>
          <w:caps w:val="false"/>
          <w:smallCaps w:val="false"/>
        </w:rPr>
      </w:pPr>
      <w:r>
        <w:rPr>
          <w:caps w:val="false"/>
          <w:smallCaps w:val="false"/>
        </w:rPr>
        <w:t> </w:t>
      </w:r>
    </w:p>
    <w:p>
      <w:pPr>
        <w:pStyle w:val="TextBody"/>
        <w:bidi w:val="0"/>
        <w:spacing w:before="0" w:after="0"/>
        <w:ind w:left="18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Consolidated Financial Statements</w:t>
      </w:r>
    </w:p>
    <w:p>
      <w:pPr>
        <w:pStyle w:val="TextBody"/>
        <w:bidi w:val="0"/>
        <w:spacing w:before="0" w:after="0"/>
        <w:ind w:left="144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5"/>
        <w:gridCol w:w="99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list of exhibits required to be filed as part of this Form 10-K is set forth in the Exhibit Index beginning on page E-1 of this Form 10-K, and is incorporated herein by reference.</w:t>
            </w:r>
          </w:p>
        </w:tc>
      </w:tr>
    </w:tbl>
    <w:p>
      <w:pPr>
        <w:pStyle w:val="TextBody"/>
        <w:bidi w:val="0"/>
        <w:spacing w:before="0" w:after="0"/>
        <w:jc w:val="left"/>
        <w:rPr>
          <w:rFonts w:ascii="Times New Roman;Times;Serif" w:hAnsi="Times New Roman;Times;Serif"/>
          <w:sz w:val="20"/>
        </w:rPr>
      </w:pPr>
      <w:r>
        <w:rPr>
          <w:rFonts w:ascii="Times New Roman;Times;Serif" w:hAnsi="Times New Roman;Times;Serif"/>
          <w:sz w:val="20"/>
        </w:rPr>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bookmarkStart w:id="84" w:name="solesence10ka045"/>
      <w:bookmarkEnd w:id="84"/>
      <w:r>
        <w:rPr>
          <w:rFonts w:ascii="Times New Roman;Times;Serif" w:hAnsi="Times New Roman;Times;Serif"/>
          <w:b/>
          <w:i w:val="false"/>
          <w:caps w:val="false"/>
          <w:smallCaps w:val="false"/>
          <w:sz w:val="20"/>
        </w:rPr>
        <w:t>Item 16. Form 10-K Summary</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NONE.</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25</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4" w:right="4"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SOLÉSENCE, INC</w:t>
      </w:r>
    </w:p>
    <w:p>
      <w:pPr>
        <w:pStyle w:val="TextBody"/>
        <w:bidi w:val="0"/>
        <w:spacing w:before="0" w:after="0"/>
        <w:ind w:left="4" w:right="4"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INDEX TO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8470" w:type="dxa"/>
        <w:jc w:val="left"/>
        <w:tblInd w:w="0" w:type="dxa"/>
        <w:tblLayout w:type="fixed"/>
        <w:tblCellMar>
          <w:top w:w="0" w:type="dxa"/>
          <w:left w:w="0" w:type="dxa"/>
          <w:bottom w:w="0" w:type="dxa"/>
          <w:right w:w="0" w:type="dxa"/>
        </w:tblCellMar>
      </w:tblPr>
      <w:tblGrid>
        <w:gridCol w:w="8045"/>
        <w:gridCol w:w="425"/>
      </w:tblGrid>
      <w:tr>
        <w:trPr/>
        <w:tc>
          <w:tcPr>
            <w:tcW w:w="8045" w:type="dxa"/>
            <w:tcBorders/>
            <w:vAlign w:val="center"/>
          </w:tcPr>
          <w:p>
            <w:pPr>
              <w:pStyle w:val="TableContents"/>
              <w:bidi w:val="0"/>
              <w:spacing w:before="0" w:after="283"/>
              <w:jc w:val="left"/>
              <w:rPr/>
            </w:pPr>
            <w:r>
              <w:rPr/>
              <w:t> </w:t>
            </w:r>
          </w:p>
        </w:tc>
        <w:tc>
          <w:tcPr>
            <w:tcW w:w="425" w:type="dxa"/>
            <w:tcBorders>
              <w:bottom w:val="single" w:sz="8" w:space="0" w:color="000000"/>
            </w:tcBorders>
            <w:tcMar>
              <w:bottom w:w="28" w:type="dxa"/>
            </w:tcMar>
            <w:vAlign w:val="center"/>
          </w:tcPr>
          <w:p>
            <w:pPr>
              <w:pStyle w:val="TableContents"/>
              <w:bidi w:val="0"/>
              <w:spacing w:before="0" w:after="283"/>
              <w:jc w:val="center"/>
              <w:rPr>
                <w:sz w:val="20"/>
              </w:rPr>
            </w:pPr>
            <w:r>
              <w:rPr>
                <w:sz w:val="20"/>
              </w:rPr>
              <w:t>Page</w:t>
            </w:r>
          </w:p>
        </w:tc>
      </w:tr>
      <w:tr>
        <w:trPr/>
        <w:tc>
          <w:tcPr>
            <w:tcW w:w="804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pPr>
            <w:r>
              <w:rPr/>
              <w:t> </w:t>
            </w:r>
          </w:p>
        </w:tc>
      </w:tr>
      <w:tr>
        <w:trPr/>
        <w:tc>
          <w:tcPr>
            <w:tcW w:w="8045" w:type="dxa"/>
            <w:tcBorders/>
            <w:vAlign w:val="center"/>
          </w:tcPr>
          <w:p>
            <w:pPr>
              <w:pStyle w:val="TableContents"/>
              <w:bidi w:val="0"/>
              <w:spacing w:before="0" w:after="283"/>
              <w:jc w:val="left"/>
              <w:rPr/>
            </w:pPr>
            <w:hyperlink w:anchor="solesence10kb001">
              <w:r>
                <w:rPr>
                  <w:rStyle w:val="InternetLink"/>
                  <w:sz w:val="20"/>
                </w:rPr>
                <w:t>Report of Independent Registered Public Accounting Firm</w:t>
              </w:r>
            </w:hyperlink>
            <w:hyperlink w:anchor="solesence10kb001">
              <w:r>
                <w:rPr>
                  <w:rStyle w:val="InternetLink"/>
                </w:rPr>
                <w:t xml:space="preserve"> </w:t>
              </w:r>
            </w:hyperlink>
            <w:hyperlink w:anchor="solesence10kb001">
              <w:r>
                <w:rPr>
                  <w:rStyle w:val="InternetLink"/>
                  <w:sz w:val="20"/>
                </w:rPr>
                <w:t xml:space="preserve">(PCAOB ID No. </w:t>
              </w:r>
            </w:hyperlink>
            <w:hyperlink w:anchor="solesence10kb001">
              <w:bookmarkStart w:id="85" w:name="xdx_90C_edei--AuditorFirmId_c20250101__2"/>
              <w:bookmarkEnd w:id="85"/>
              <w:r>
                <w:rPr>
                  <w:rStyle w:val="InternetLink"/>
                  <w:sz w:val="20"/>
                </w:rPr>
                <w:t>49)</w:t>
              </w:r>
            </w:hyperlink>
          </w:p>
        </w:tc>
        <w:tc>
          <w:tcPr>
            <w:tcW w:w="425" w:type="dxa"/>
            <w:tcBorders/>
            <w:vAlign w:val="center"/>
          </w:tcPr>
          <w:p>
            <w:pPr>
              <w:pStyle w:val="TableContents"/>
              <w:bidi w:val="0"/>
              <w:spacing w:before="0" w:after="283"/>
              <w:jc w:val="right"/>
              <w:rPr>
                <w:sz w:val="20"/>
              </w:rPr>
            </w:pPr>
            <w:r>
              <w:rPr>
                <w:sz w:val="20"/>
              </w:rPr>
              <w:t>F-2</w:t>
            </w:r>
          </w:p>
        </w:tc>
      </w:tr>
      <w:tr>
        <w:trPr/>
        <w:tc>
          <w:tcPr>
            <w:tcW w:w="804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pPr>
            <w:r>
              <w:rPr/>
              <w:t> </w:t>
            </w:r>
          </w:p>
        </w:tc>
      </w:tr>
      <w:tr>
        <w:trPr/>
        <w:tc>
          <w:tcPr>
            <w:tcW w:w="8045" w:type="dxa"/>
            <w:tcBorders/>
            <w:vAlign w:val="center"/>
          </w:tcPr>
          <w:p>
            <w:pPr>
              <w:pStyle w:val="TableContents"/>
              <w:bidi w:val="0"/>
              <w:spacing w:before="0" w:after="283"/>
              <w:jc w:val="left"/>
              <w:rPr/>
            </w:pPr>
            <w:hyperlink w:anchor="solesence10kb002">
              <w:r>
                <w:rPr>
                  <w:rStyle w:val="InternetLink"/>
                  <w:sz w:val="20"/>
                </w:rPr>
                <w:t>Consolidated Balance Sheets as of December 31, 2025 and 2024</w:t>
              </w:r>
            </w:hyperlink>
          </w:p>
        </w:tc>
        <w:tc>
          <w:tcPr>
            <w:tcW w:w="425" w:type="dxa"/>
            <w:tcBorders/>
            <w:vAlign w:val="center"/>
          </w:tcPr>
          <w:p>
            <w:pPr>
              <w:pStyle w:val="TableContents"/>
              <w:bidi w:val="0"/>
              <w:spacing w:before="0" w:after="283"/>
              <w:jc w:val="right"/>
              <w:rPr>
                <w:sz w:val="20"/>
              </w:rPr>
            </w:pPr>
            <w:r>
              <w:rPr>
                <w:sz w:val="20"/>
              </w:rPr>
              <w:t>F-4</w:t>
            </w:r>
          </w:p>
        </w:tc>
      </w:tr>
      <w:tr>
        <w:trPr/>
        <w:tc>
          <w:tcPr>
            <w:tcW w:w="804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pPr>
            <w:r>
              <w:rPr/>
              <w:t> </w:t>
            </w:r>
          </w:p>
        </w:tc>
      </w:tr>
      <w:tr>
        <w:trPr/>
        <w:tc>
          <w:tcPr>
            <w:tcW w:w="8045" w:type="dxa"/>
            <w:tcBorders/>
            <w:vAlign w:val="center"/>
          </w:tcPr>
          <w:p>
            <w:pPr>
              <w:pStyle w:val="TableContents"/>
              <w:bidi w:val="0"/>
              <w:spacing w:before="0" w:after="283"/>
              <w:jc w:val="left"/>
              <w:rPr/>
            </w:pPr>
            <w:hyperlink w:anchor="solesence10kb003">
              <w:r>
                <w:rPr>
                  <w:rStyle w:val="InternetLink"/>
                  <w:sz w:val="20"/>
                </w:rPr>
                <w:t>Consolidated Statements of Operations for the years ended December 31, 2025 and 2024</w:t>
              </w:r>
            </w:hyperlink>
          </w:p>
        </w:tc>
        <w:tc>
          <w:tcPr>
            <w:tcW w:w="425" w:type="dxa"/>
            <w:tcBorders/>
            <w:vAlign w:val="center"/>
          </w:tcPr>
          <w:p>
            <w:pPr>
              <w:pStyle w:val="TableContents"/>
              <w:bidi w:val="0"/>
              <w:spacing w:before="0" w:after="283"/>
              <w:jc w:val="right"/>
              <w:rPr>
                <w:sz w:val="20"/>
              </w:rPr>
            </w:pPr>
            <w:r>
              <w:rPr>
                <w:sz w:val="20"/>
              </w:rPr>
              <w:t>F-5</w:t>
            </w:r>
          </w:p>
        </w:tc>
      </w:tr>
      <w:tr>
        <w:trPr/>
        <w:tc>
          <w:tcPr>
            <w:tcW w:w="804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pPr>
            <w:r>
              <w:rPr/>
              <w:t> </w:t>
            </w:r>
          </w:p>
        </w:tc>
      </w:tr>
      <w:tr>
        <w:trPr/>
        <w:tc>
          <w:tcPr>
            <w:tcW w:w="8045" w:type="dxa"/>
            <w:tcBorders/>
            <w:vAlign w:val="center"/>
          </w:tcPr>
          <w:p>
            <w:pPr>
              <w:pStyle w:val="TableContents"/>
              <w:bidi w:val="0"/>
              <w:spacing w:before="0" w:after="283"/>
              <w:jc w:val="left"/>
              <w:rPr/>
            </w:pPr>
            <w:hyperlink w:anchor="solesence10kb004">
              <w:r>
                <w:rPr>
                  <w:rStyle w:val="InternetLink"/>
                  <w:sz w:val="20"/>
                </w:rPr>
                <w:t>Consolidated Statements of Stockholders’ Equity for the years ended December 31, 2025 and 2024</w:t>
              </w:r>
            </w:hyperlink>
          </w:p>
        </w:tc>
        <w:tc>
          <w:tcPr>
            <w:tcW w:w="425" w:type="dxa"/>
            <w:tcBorders/>
            <w:vAlign w:val="center"/>
          </w:tcPr>
          <w:p>
            <w:pPr>
              <w:pStyle w:val="TableContents"/>
              <w:bidi w:val="0"/>
              <w:spacing w:before="0" w:after="283"/>
              <w:jc w:val="right"/>
              <w:rPr>
                <w:sz w:val="20"/>
              </w:rPr>
            </w:pPr>
            <w:r>
              <w:rPr>
                <w:sz w:val="20"/>
              </w:rPr>
              <w:t>F-6</w:t>
            </w:r>
          </w:p>
        </w:tc>
      </w:tr>
      <w:tr>
        <w:trPr/>
        <w:tc>
          <w:tcPr>
            <w:tcW w:w="804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pPr>
            <w:r>
              <w:rPr/>
              <w:t> </w:t>
            </w:r>
          </w:p>
        </w:tc>
      </w:tr>
      <w:tr>
        <w:trPr/>
        <w:tc>
          <w:tcPr>
            <w:tcW w:w="8045" w:type="dxa"/>
            <w:tcBorders/>
            <w:vAlign w:val="center"/>
          </w:tcPr>
          <w:p>
            <w:pPr>
              <w:pStyle w:val="TableContents"/>
              <w:bidi w:val="0"/>
              <w:spacing w:before="0" w:after="283"/>
              <w:jc w:val="left"/>
              <w:rPr/>
            </w:pPr>
            <w:hyperlink w:anchor="solesence10kb005">
              <w:r>
                <w:rPr>
                  <w:rStyle w:val="InternetLink"/>
                  <w:sz w:val="20"/>
                </w:rPr>
                <w:t>Consolidated Statements of Cash Flows for the years ended December 31, 2025 and 2024</w:t>
              </w:r>
            </w:hyperlink>
          </w:p>
        </w:tc>
        <w:tc>
          <w:tcPr>
            <w:tcW w:w="425" w:type="dxa"/>
            <w:tcBorders/>
            <w:vAlign w:val="center"/>
          </w:tcPr>
          <w:p>
            <w:pPr>
              <w:pStyle w:val="TableContents"/>
              <w:bidi w:val="0"/>
              <w:spacing w:before="0" w:after="283"/>
              <w:jc w:val="right"/>
              <w:rPr>
                <w:sz w:val="20"/>
              </w:rPr>
            </w:pPr>
            <w:r>
              <w:rPr>
                <w:sz w:val="20"/>
              </w:rPr>
              <w:t>F-7</w:t>
            </w:r>
          </w:p>
        </w:tc>
      </w:tr>
      <w:tr>
        <w:trPr/>
        <w:tc>
          <w:tcPr>
            <w:tcW w:w="804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pPr>
            <w:r>
              <w:rPr/>
              <w:t> </w:t>
            </w:r>
          </w:p>
        </w:tc>
      </w:tr>
      <w:tr>
        <w:trPr/>
        <w:tc>
          <w:tcPr>
            <w:tcW w:w="8045" w:type="dxa"/>
            <w:tcBorders/>
            <w:vAlign w:val="center"/>
          </w:tcPr>
          <w:p>
            <w:pPr>
              <w:pStyle w:val="TableContents"/>
              <w:bidi w:val="0"/>
              <w:spacing w:before="0" w:after="283"/>
              <w:jc w:val="left"/>
              <w:rPr/>
            </w:pPr>
            <w:hyperlink w:anchor="solesence10kb006">
              <w:r>
                <w:rPr>
                  <w:rStyle w:val="InternetLink"/>
                  <w:sz w:val="20"/>
                </w:rPr>
                <w:t>Notes to the Consolidated Financial Statements</w:t>
              </w:r>
            </w:hyperlink>
          </w:p>
        </w:tc>
        <w:tc>
          <w:tcPr>
            <w:tcW w:w="425" w:type="dxa"/>
            <w:tcBorders/>
            <w:vAlign w:val="center"/>
          </w:tcPr>
          <w:p>
            <w:pPr>
              <w:pStyle w:val="TableContents"/>
              <w:bidi w:val="0"/>
              <w:spacing w:before="0" w:after="283"/>
              <w:jc w:val="right"/>
              <w:rPr>
                <w:sz w:val="20"/>
              </w:rPr>
            </w:pPr>
            <w:r>
              <w:rPr>
                <w:sz w:val="20"/>
              </w:rPr>
              <w:t>F-8</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F-1 </w:t>
      </w:r>
    </w:p>
    <w:p>
      <w:pPr>
        <w:pStyle w:val="TextBody"/>
        <w:bidi w:val="0"/>
        <w:spacing w:before="0" w:after="0"/>
        <w:ind w:left="5" w:right="5" w:hanging="0"/>
        <w:jc w:val="center"/>
        <w:rPr>
          <w:rFonts w:ascii="Times New Roman;Times;Serif" w:hAnsi="Times New Roman;Times;Serif"/>
          <w:b/>
          <w:i w:val="false"/>
          <w:caps w:val="false"/>
          <w:smallCaps w:val="false"/>
          <w:sz w:val="20"/>
        </w:rPr>
      </w:pPr>
      <w:bookmarkStart w:id="86" w:name="solesence10kb001"/>
      <w:bookmarkEnd w:id="86"/>
      <w:r>
        <w:rPr>
          <w:rFonts w:ascii="Times New Roman;Times;Serif" w:hAnsi="Times New Roman;Times;Serif"/>
          <w:b/>
          <w:i w:val="false"/>
          <w:caps w:val="false"/>
          <w:smallCaps w:val="false"/>
          <w:sz w:val="20"/>
        </w:rPr>
        <w:t>Report of Independent Registered Public Accounting Firm</w:t>
      </w:r>
    </w:p>
    <w:p>
      <w:pPr>
        <w:pStyle w:val="TextBody"/>
        <w:bidi w:val="0"/>
        <w:spacing w:before="0" w:after="0"/>
        <w:ind w:left="5" w:right="5"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Stockholders and the Board of Directors of Solesence,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87" w:name="xdx_808_edei--AuditorOpinionTextBlock_zm"/>
      <w:bookmarkEnd w:id="87"/>
      <w:r>
        <w:rPr>
          <w:rFonts w:ascii="Times New Roman;Times;Serif" w:hAnsi="Times New Roman;Times;Serif"/>
          <w:b/>
          <w:i w:val="false"/>
          <w:caps w:val="false"/>
          <w:smallCaps w:val="false"/>
          <w:sz w:val="20"/>
        </w:rPr>
        <w:t>Opinion on the Financial Statements</w:t>
      </w:r>
    </w:p>
    <w:p>
      <w:pPr>
        <w:pStyle w:val="TextBody"/>
        <w:bidi w:val="0"/>
        <w:spacing w:before="0" w:after="0"/>
        <w:ind w:left="41" w:right="41"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the accompanying consolidated balance sheets of Solesence, Inc. and its subsidiary (the Company) as of December 31, 2025 and 2024, the related consolidated statements of operations, stockholders’ equity and cash flows for the years then ended, and the related notes to the consolidated financial statements (collectively, the financial statements). In our opinion, the financial statements present fairly, in all material respects, the financial position of the Company as of December 31, 2025 and 2024, and the results of its operations and its cash flows for the years then ended, in conformity with accounting principles generally accepted in the United States of America.</w:t>
      </w:r>
    </w:p>
    <w:p>
      <w:pPr>
        <w:pStyle w:val="TextBody"/>
        <w:bidi w:val="0"/>
        <w:spacing w:before="0" w:after="0"/>
        <w:ind w:left="41" w:right="41"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88" w:name="xdx_814_zFw5FyVPT0Fh"/>
      <w:bookmarkEnd w:id="88"/>
      <w:r>
        <w:rPr>
          <w:rFonts w:ascii="Times New Roman;Times;Serif" w:hAnsi="Times New Roman;Times;Serif"/>
          <w:b/>
          <w:i w:val="false"/>
          <w:caps w:val="false"/>
          <w:smallCaps w:val="false"/>
          <w:sz w:val="20"/>
        </w:rPr>
        <w:t>Basis for Opinion</w:t>
      </w:r>
    </w:p>
    <w:p>
      <w:pPr>
        <w:pStyle w:val="TextBody"/>
        <w:bidi w:val="0"/>
        <w:spacing w:before="0" w:after="0"/>
        <w:ind w:left="119" w:right="119"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U.S. federal securities laws and the applicable rules and regulations of the Securities and Exchange Commission and the PCAOB.</w:t>
      </w:r>
    </w:p>
    <w:p>
      <w:pPr>
        <w:pStyle w:val="TextBody"/>
        <w:bidi w:val="0"/>
        <w:spacing w:before="0" w:after="0"/>
        <w:ind w:left="119" w:right="119"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1" w:right="41"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0"/>
        <w:ind w:left="41" w:right="41"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Audit Matter</w:t>
      </w:r>
    </w:p>
    <w:p>
      <w:pPr>
        <w:pStyle w:val="TextBody"/>
        <w:bidi w:val="0"/>
        <w:spacing w:before="0" w:after="0"/>
        <w:ind w:left="47" w:right="47"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pStyle w:val="TextBody"/>
        <w:bidi w:val="0"/>
        <w:spacing w:before="0" w:after="0"/>
        <w:ind w:left="47" w:right="47"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F-2 </w:t>
      </w:r>
    </w:p>
    <w:p>
      <w:pPr>
        <w:pStyle w:val="TextBody"/>
        <w:bidi w:val="0"/>
        <w:spacing w:before="0" w:after="0"/>
        <w:ind w:left="81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Inventory Excess and Obsolete Reserve</w:t>
      </w:r>
    </w:p>
    <w:p>
      <w:pPr>
        <w:pStyle w:val="TextBody"/>
        <w:bidi w:val="0"/>
        <w:spacing w:before="0" w:after="0"/>
        <w:ind w:left="810" w:right="119"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described within Notes 1 and 4 to the financial statements, the Company has recorded an allowance to reduce inventory relating to excess quantities or the obsolescence of certain products. As of December 31, 2025, the Company has reported inventories of approximately $18,511,000, net of an excess and obsolete reserve of $2,721,000. The Company monitors the value of inventory for the effects of aging, obsolescence, and seasonality, and recognizes a reserve equal to the value of inventory that will likely not be consumed in production or sold and therefore will experience an impairment. Such inventory may consist of materials nearing expiration, soon-to-be obsolete products or raw materials that are no longer regularly used.</w:t>
      </w:r>
    </w:p>
    <w:p>
      <w:pPr>
        <w:pStyle w:val="TextBody"/>
        <w:bidi w:val="0"/>
        <w:spacing w:before="0" w:after="0"/>
        <w:ind w:left="810" w:right="14" w:hanging="0"/>
        <w:jc w:val="left"/>
        <w:rPr>
          <w:caps w:val="false"/>
          <w:smallCaps w:val="false"/>
        </w:rPr>
      </w:pPr>
      <w:r>
        <w:rPr>
          <w:caps w:val="false"/>
          <w:smallCaps w:val="false"/>
        </w:rPr>
        <w:t> </w:t>
      </w:r>
    </w:p>
    <w:p>
      <w:pPr>
        <w:pStyle w:val="TextBody"/>
        <w:bidi w:val="0"/>
        <w:spacing w:before="0" w:after="0"/>
        <w:ind w:left="81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identified the valuation of the inventory excess and obsolete reserve as a critical audit matter because of the significant assumption and judgments made by management. Auditing management’s assumption and judgments regarding their expectations of inventory that will not be consumed in production or sold, and evaluating evidence obtained, involved a high degree of auditor judgment, subjectivity and increased audit effort.</w:t>
      </w:r>
    </w:p>
    <w:p>
      <w:pPr>
        <w:pStyle w:val="TextBody"/>
        <w:bidi w:val="0"/>
        <w:spacing w:before="0" w:after="0"/>
        <w:ind w:left="810" w:right="0" w:hanging="0"/>
        <w:jc w:val="left"/>
        <w:rPr>
          <w:caps w:val="false"/>
          <w:smallCaps w:val="false"/>
        </w:rPr>
      </w:pPr>
      <w:r>
        <w:rPr>
          <w:caps w:val="false"/>
          <w:smallCaps w:val="false"/>
        </w:rPr>
        <w:t> </w:t>
      </w:r>
    </w:p>
    <w:p>
      <w:pPr>
        <w:pStyle w:val="TextBody"/>
        <w:bidi w:val="0"/>
        <w:spacing w:before="0" w:after="0"/>
        <w:ind w:left="81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procedures related to the Company’s evaluation of the excess and obsolete inventory reserve included the following primary procedures, among others:</w:t>
      </w:r>
    </w:p>
    <w:p>
      <w:pPr>
        <w:pStyle w:val="TextBody"/>
        <w:bidi w:val="0"/>
        <w:spacing w:before="0" w:after="0"/>
        <w:ind w:left="81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 reviewed the Company’s accounting policy to understand management’s estimation methodology, their evaluation of the reasonableness of their significant assumption, assess consistency and identify changes from prior years.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 performed corroborative inquiries with management and those in purchasing, operations, warehousing and production to understand the basis for the reserve.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 evaluated the reasonableness of the significant assumption used by management including those related to identifying materials nearing expiration, soon-to-be obsolete products or raw materials that are no longer regularly used.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 tested the completeness, accuracy and relevance of the underlying data, including the inventory subjected to analysis, historical sales and usage data, used in management’s estimate of excess and obsolete inventory.</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 tested the calculations, including mathematical accuracy, and application of management’s methodologies related to the valuation of excess and obsolete inventory.</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 performed a comparison of current year activity to the prior year reserve to assess the reasonableness of the Company’s reserves and identify potential indicators of management bias that may be present.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81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w:t>
      </w:r>
      <w:bookmarkStart w:id="89" w:name="xdx_907_edei--AuditorName_c20250101__202"/>
      <w:bookmarkEnd w:id="89"/>
      <w:r>
        <w:rPr>
          <w:rFonts w:ascii="Times New Roman;Times;Serif" w:hAnsi="Times New Roman;Times;Serif"/>
          <w:b w:val="false"/>
          <w:i w:val="false"/>
          <w:caps w:val="false"/>
          <w:smallCaps w:val="false"/>
          <w:sz w:val="20"/>
        </w:rPr>
        <w:t>RSM US LLP</w:t>
      </w:r>
    </w:p>
    <w:p>
      <w:pPr>
        <w:pStyle w:val="TextBody"/>
        <w:bidi w:val="0"/>
        <w:spacing w:before="0" w:after="0"/>
        <w:ind w:left="810" w:right="0" w:hanging="0"/>
        <w:jc w:val="left"/>
        <w:rPr>
          <w:caps w:val="false"/>
          <w:smallCaps w:val="false"/>
        </w:rPr>
      </w:pPr>
      <w:r>
        <w:rPr>
          <w:caps w:val="false"/>
          <w:smallCaps w:val="false"/>
        </w:rPr>
        <w:t> </w:t>
      </w:r>
    </w:p>
    <w:p>
      <w:pPr>
        <w:pStyle w:val="TextBody"/>
        <w:bidi w:val="0"/>
        <w:spacing w:before="0" w:after="0"/>
        <w:ind w:left="810" w:right="3577"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served as the Company’s auditor since 2001.</w:t>
      </w:r>
    </w:p>
    <w:p>
      <w:pPr>
        <w:pStyle w:val="TextBody"/>
        <w:bidi w:val="0"/>
        <w:spacing w:before="0" w:after="0"/>
        <w:ind w:left="810" w:right="3577" w:hanging="0"/>
        <w:jc w:val="left"/>
        <w:rPr>
          <w:caps w:val="false"/>
          <w:smallCaps w:val="false"/>
        </w:rPr>
      </w:pPr>
      <w:r>
        <w:rPr>
          <w:caps w:val="false"/>
          <w:smallCaps w:val="false"/>
        </w:rPr>
        <w:t> </w:t>
      </w:r>
    </w:p>
    <w:p>
      <w:pPr>
        <w:pStyle w:val="TextBody"/>
        <w:bidi w:val="0"/>
        <w:spacing w:before="0" w:after="0"/>
        <w:ind w:left="810" w:right="3577" w:hanging="0"/>
        <w:jc w:val="left"/>
        <w:rPr>
          <w:rFonts w:ascii="Times New Roman;Times;Serif" w:hAnsi="Times New Roman;Times;Serif"/>
          <w:b w:val="false"/>
          <w:i w:val="false"/>
          <w:caps w:val="false"/>
          <w:smallCaps w:val="false"/>
          <w:sz w:val="20"/>
        </w:rPr>
      </w:pPr>
      <w:bookmarkStart w:id="90" w:name="xdx_900_edei--AuditorLocation_c20250101_"/>
      <w:bookmarkEnd w:id="90"/>
      <w:r>
        <w:rPr>
          <w:rFonts w:ascii="Times New Roman;Times;Serif" w:hAnsi="Times New Roman;Times;Serif"/>
          <w:b w:val="false"/>
          <w:i w:val="false"/>
          <w:caps w:val="false"/>
          <w:smallCaps w:val="false"/>
          <w:sz w:val="20"/>
        </w:rPr>
        <w:t>Milwaukee, Wisconsin</w:t>
      </w:r>
    </w:p>
    <w:p>
      <w:pPr>
        <w:pStyle w:val="TextBody"/>
        <w:bidi w:val="0"/>
        <w:spacing w:before="0" w:after="0"/>
        <w:ind w:left="81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31, 2026</w:t>
      </w:r>
    </w:p>
    <w:p>
      <w:pPr>
        <w:pStyle w:val="TextBody"/>
        <w:bidi w:val="0"/>
        <w:spacing w:before="0" w:after="0"/>
        <w:ind w:left="81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F-3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SOLÉSENCE, INC.</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1" w:name="solesence10kb002"/>
      <w:bookmarkEnd w:id="91"/>
      <w:r>
        <w:rPr>
          <w:rFonts w:ascii="Times New Roman;Times;Serif" w:hAnsi="Times New Roman;Times;Serif"/>
          <w:b/>
          <w:i w:val="false"/>
          <w:caps w:val="false"/>
          <w:smallCaps w:val="false"/>
          <w:sz w:val="20"/>
        </w:rPr>
        <w:t>CONSOLIDATED BALANCE SHEETS</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92" w:name="xdx_308_111_pn3n3_zQw40fajKOv6"/>
      <w:bookmarkStart w:id="93" w:name="xdx_308_111_pn3n3_zQw40fajKOv6"/>
      <w:bookmarkEnd w:id="93"/>
    </w:p>
    <w:tbl>
      <w:tblPr>
        <w:tblW w:w="10205" w:type="dxa"/>
        <w:jc w:val="left"/>
        <w:tblInd w:w="0" w:type="dxa"/>
        <w:tblLayout w:type="fixed"/>
        <w:tblCellMar>
          <w:top w:w="0" w:type="dxa"/>
          <w:left w:w="0" w:type="dxa"/>
          <w:bottom w:w="0" w:type="dxa"/>
          <w:right w:w="0" w:type="dxa"/>
        </w:tblCellMar>
      </w:tblPr>
      <w:tblGrid>
        <w:gridCol w:w="7430"/>
        <w:gridCol w:w="60"/>
        <w:gridCol w:w="188"/>
        <w:gridCol w:w="1054"/>
        <w:gridCol w:w="80"/>
        <w:gridCol w:w="60"/>
        <w:gridCol w:w="176"/>
        <w:gridCol w:w="1069"/>
        <w:gridCol w:w="88"/>
      </w:tblGrid>
      <w:tr>
        <w:trPr/>
        <w:tc>
          <w:tcPr>
            <w:tcW w:w="74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bookmarkStart w:id="94" w:name="xdx_493_20251231_zrJ5P4us4om7"/>
            <w:bookmarkEnd w:id="94"/>
          </w:p>
        </w:tc>
        <w:tc>
          <w:tcPr>
            <w:tcW w:w="1054"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bookmarkStart w:id="95" w:name="xdx_497_20241231_zyriNFdtOq03"/>
            <w:bookmarkEnd w:id="95"/>
          </w:p>
        </w:tc>
        <w:tc>
          <w:tcPr>
            <w:tcW w:w="1069"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ind w:left="0" w:right="0" w:hanging="180"/>
              <w:jc w:val="left"/>
              <w:rPr/>
            </w:pPr>
            <w:r>
              <w:rPr/>
              <w:t> </w:t>
            </w:r>
          </w:p>
        </w:tc>
      </w:tr>
      <w:tr>
        <w:trPr/>
        <w:tc>
          <w:tcPr>
            <w:tcW w:w="74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27"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As of</w:t>
            </w:r>
          </w:p>
        </w:tc>
        <w:tc>
          <w:tcPr>
            <w:tcW w:w="88" w:type="dxa"/>
            <w:tcBorders/>
            <w:vAlign w:val="center"/>
          </w:tcPr>
          <w:p>
            <w:pPr>
              <w:pStyle w:val="TableContents"/>
              <w:bidi w:val="0"/>
              <w:spacing w:before="0" w:after="283"/>
              <w:ind w:left="0" w:right="0" w:hanging="180"/>
              <w:jc w:val="left"/>
              <w:rPr/>
            </w:pPr>
            <w:r>
              <w:rPr/>
              <w:t> </w:t>
            </w:r>
          </w:p>
        </w:tc>
      </w:tr>
      <w:tr>
        <w:trPr/>
        <w:tc>
          <w:tcPr>
            <w:tcW w:w="74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2"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December 31, 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December 31, 2024</w:t>
            </w:r>
          </w:p>
        </w:tc>
        <w:tc>
          <w:tcPr>
            <w:tcW w:w="88" w:type="dxa"/>
            <w:tcBorders/>
            <w:vAlign w:val="center"/>
          </w:tcPr>
          <w:p>
            <w:pPr>
              <w:pStyle w:val="TableContents"/>
              <w:bidi w:val="0"/>
              <w:spacing w:before="0" w:after="283"/>
              <w:ind w:left="0" w:right="0" w:hanging="180"/>
              <w:jc w:val="left"/>
              <w:rPr/>
            </w:pPr>
            <w:r>
              <w:rPr/>
              <w:t> </w:t>
            </w:r>
          </w:p>
        </w:tc>
      </w:tr>
      <w:tr>
        <w:trPr/>
        <w:tc>
          <w:tcPr>
            <w:tcW w:w="74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27" w:type="dxa"/>
            <w:gridSpan w:val="6"/>
            <w:tcBorders/>
            <w:vAlign w:val="center"/>
          </w:tcPr>
          <w:p>
            <w:pPr>
              <w:pStyle w:val="TableContents"/>
              <w:bidi w:val="0"/>
              <w:spacing w:before="0" w:after="283"/>
              <w:jc w:val="center"/>
              <w:rPr/>
            </w:pPr>
            <w:r>
              <w:rPr>
                <w:b/>
                <w:sz w:val="20"/>
              </w:rPr>
              <w:t xml:space="preserve">(in thousands except share and </w:t>
            </w:r>
            <w:r>
              <w:rPr/>
              <w:br/>
            </w:r>
            <w:r>
              <w:rPr>
                <w:b/>
                <w:sz w:val="20"/>
              </w:rPr>
              <w:t>per share data)</w:t>
            </w:r>
          </w:p>
        </w:tc>
        <w:tc>
          <w:tcPr>
            <w:tcW w:w="88" w:type="dxa"/>
            <w:tcBorders/>
            <w:vAlign w:val="center"/>
          </w:tcPr>
          <w:p>
            <w:pPr>
              <w:pStyle w:val="TableContents"/>
              <w:bidi w:val="0"/>
              <w:spacing w:before="0" w:after="283"/>
              <w:ind w:left="0" w:right="0" w:hanging="180"/>
              <w:jc w:val="left"/>
              <w:rPr/>
            </w:pPr>
            <w:r>
              <w:rPr/>
              <w:t> </w:t>
            </w:r>
            <w:bookmarkStart w:id="96" w:name="xdx_408_eus-gaap--AssetsAbstract_iB_z4qV"/>
            <w:bookmarkEnd w:id="96"/>
          </w:p>
        </w:tc>
      </w:tr>
      <w:tr>
        <w:trPr/>
        <w:tc>
          <w:tcPr>
            <w:tcW w:w="7430" w:type="dxa"/>
            <w:tcBorders/>
            <w:vAlign w:val="center"/>
          </w:tcPr>
          <w:p>
            <w:pPr>
              <w:pStyle w:val="TableContents"/>
              <w:bidi w:val="0"/>
              <w:spacing w:before="0" w:after="283"/>
              <w:jc w:val="center"/>
              <w:rPr>
                <w:b/>
                <w:sz w:val="20"/>
              </w:rPr>
            </w:pPr>
            <w:r>
              <w:rPr>
                <w:b/>
                <w:sz w:val="20"/>
              </w:rPr>
              <w:t>ASSETS</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054"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1069" w:type="dxa"/>
            <w:tcBorders/>
            <w:vAlign w:val="center"/>
          </w:tcPr>
          <w:p>
            <w:pPr>
              <w:pStyle w:val="TableContents"/>
              <w:bidi w:val="0"/>
              <w:spacing w:before="0" w:after="283"/>
              <w:jc w:val="right"/>
              <w:rPr/>
            </w:pPr>
            <w:r>
              <w:rPr/>
              <w:t> </w:t>
            </w:r>
          </w:p>
        </w:tc>
        <w:tc>
          <w:tcPr>
            <w:tcW w:w="88" w:type="dxa"/>
            <w:tcBorders/>
            <w:vAlign w:val="center"/>
          </w:tcPr>
          <w:p>
            <w:pPr>
              <w:pStyle w:val="TableContents"/>
              <w:bidi w:val="0"/>
              <w:spacing w:before="0" w:after="283"/>
              <w:ind w:left="0" w:right="0" w:hanging="180"/>
              <w:jc w:val="left"/>
              <w:rPr/>
            </w:pPr>
            <w:r>
              <w:rPr/>
              <w:t> </w:t>
            </w:r>
            <w:bookmarkStart w:id="97" w:name="xdx_401_eus-gaap--AssetsCurrentAbstract_"/>
            <w:bookmarkEnd w:id="97"/>
          </w:p>
        </w:tc>
      </w:tr>
      <w:tr>
        <w:trPr/>
        <w:tc>
          <w:tcPr>
            <w:tcW w:w="7430" w:type="dxa"/>
            <w:tcBorders/>
            <w:vAlign w:val="center"/>
          </w:tcPr>
          <w:p>
            <w:pPr>
              <w:pStyle w:val="TableContents"/>
              <w:bidi w:val="0"/>
              <w:spacing w:before="0" w:after="283"/>
              <w:jc w:val="left"/>
              <w:rPr>
                <w:b/>
                <w:sz w:val="20"/>
              </w:rPr>
            </w:pPr>
            <w:r>
              <w:rPr>
                <w:b/>
                <w:sz w:val="20"/>
              </w:rPr>
              <w:t>Current assets:</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054"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1069" w:type="dxa"/>
            <w:tcBorders/>
            <w:vAlign w:val="center"/>
          </w:tcPr>
          <w:p>
            <w:pPr>
              <w:pStyle w:val="TableContents"/>
              <w:bidi w:val="0"/>
              <w:spacing w:before="0" w:after="283"/>
              <w:jc w:val="right"/>
              <w:rPr/>
            </w:pPr>
            <w:r>
              <w:rPr/>
              <w:t> </w:t>
            </w:r>
          </w:p>
        </w:tc>
        <w:tc>
          <w:tcPr>
            <w:tcW w:w="88" w:type="dxa"/>
            <w:tcBorders/>
            <w:vAlign w:val="center"/>
          </w:tcPr>
          <w:p>
            <w:pPr>
              <w:pStyle w:val="TableContents"/>
              <w:bidi w:val="0"/>
              <w:spacing w:before="0" w:after="283"/>
              <w:ind w:left="0" w:right="0" w:hanging="180"/>
              <w:jc w:val="left"/>
              <w:rPr/>
            </w:pPr>
            <w:r>
              <w:rPr/>
              <w:t> </w:t>
            </w:r>
            <w:bookmarkStart w:id="98" w:name="xdx_40F_eus-gaap--CashAndCashEquivalents"/>
            <w:bookmarkEnd w:id="98"/>
          </w:p>
        </w:tc>
      </w:tr>
      <w:tr>
        <w:trPr/>
        <w:tc>
          <w:tcPr>
            <w:tcW w:w="7430" w:type="dxa"/>
            <w:tcBorders/>
            <w:shd w:fill="CCEEFF" w:val="clear"/>
            <w:vAlign w:val="center"/>
          </w:tcPr>
          <w:p>
            <w:pPr>
              <w:pStyle w:val="TableContents"/>
              <w:bidi w:val="0"/>
              <w:spacing w:before="0" w:after="283"/>
              <w:jc w:val="left"/>
              <w:rPr>
                <w:sz w:val="20"/>
              </w:rPr>
            </w:pPr>
            <w:r>
              <w:rPr>
                <w:sz w:val="20"/>
              </w:rPr>
              <w:t>Cash</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sz w:val="20"/>
              </w:rPr>
            </w:pPr>
            <w:r>
              <w:rPr>
                <w:sz w:val="20"/>
              </w:rPr>
              <w:t>$</w:t>
            </w:r>
          </w:p>
        </w:tc>
        <w:tc>
          <w:tcPr>
            <w:tcW w:w="1054" w:type="dxa"/>
            <w:tcBorders/>
            <w:shd w:fill="CCEEFF" w:val="clear"/>
            <w:vAlign w:val="center"/>
          </w:tcPr>
          <w:p>
            <w:pPr>
              <w:pStyle w:val="TableContents"/>
              <w:bidi w:val="0"/>
              <w:spacing w:before="0" w:after="283"/>
              <w:jc w:val="right"/>
              <w:rPr>
                <w:sz w:val="20"/>
              </w:rPr>
            </w:pPr>
            <w:r>
              <w:rPr>
                <w:sz w:val="20"/>
              </w:rPr>
              <w:t>1,288</w:t>
            </w:r>
          </w:p>
        </w:tc>
        <w:tc>
          <w:tcPr>
            <w:tcW w:w="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176" w:type="dxa"/>
            <w:tcBorders/>
            <w:shd w:fill="CCEEFF" w:val="clear"/>
            <w:vAlign w:val="center"/>
          </w:tcPr>
          <w:p>
            <w:pPr>
              <w:pStyle w:val="TableContents"/>
              <w:bidi w:val="0"/>
              <w:spacing w:before="0" w:after="283"/>
              <w:jc w:val="left"/>
              <w:rPr>
                <w:sz w:val="20"/>
              </w:rPr>
            </w:pPr>
            <w:r>
              <w:rPr>
                <w:sz w:val="20"/>
              </w:rPr>
              <w:t>$</w:t>
            </w:r>
          </w:p>
        </w:tc>
        <w:tc>
          <w:tcPr>
            <w:tcW w:w="1069" w:type="dxa"/>
            <w:tcBorders/>
            <w:shd w:fill="CCEEFF" w:val="clear"/>
            <w:vAlign w:val="center"/>
          </w:tcPr>
          <w:p>
            <w:pPr>
              <w:pStyle w:val="TableContents"/>
              <w:bidi w:val="0"/>
              <w:spacing w:before="0" w:after="283"/>
              <w:jc w:val="right"/>
              <w:rPr>
                <w:sz w:val="20"/>
              </w:rPr>
            </w:pPr>
            <w:r>
              <w:rPr>
                <w:sz w:val="20"/>
              </w:rPr>
              <w:t>1,409</w:t>
            </w:r>
          </w:p>
        </w:tc>
        <w:tc>
          <w:tcPr>
            <w:tcW w:w="88" w:type="dxa"/>
            <w:tcBorders/>
            <w:shd w:fill="CCEEFF" w:val="clear"/>
            <w:vAlign w:val="center"/>
          </w:tcPr>
          <w:p>
            <w:pPr>
              <w:pStyle w:val="TableContents"/>
              <w:bidi w:val="0"/>
              <w:spacing w:before="0" w:after="283"/>
              <w:ind w:left="0" w:right="0" w:hanging="180"/>
              <w:jc w:val="left"/>
              <w:rPr/>
            </w:pPr>
            <w:r>
              <w:rPr/>
              <w:t> </w:t>
            </w:r>
            <w:bookmarkStart w:id="99" w:name="xdx_409_eus-gaap--AccountsReceivableGros"/>
            <w:bookmarkEnd w:id="99"/>
          </w:p>
        </w:tc>
      </w:tr>
      <w:tr>
        <w:trPr/>
        <w:tc>
          <w:tcPr>
            <w:tcW w:w="7430" w:type="dxa"/>
            <w:tcBorders/>
            <w:vAlign w:val="center"/>
          </w:tcPr>
          <w:p>
            <w:pPr>
              <w:pStyle w:val="TableContents"/>
              <w:bidi w:val="0"/>
              <w:spacing w:before="0" w:after="283"/>
              <w:jc w:val="left"/>
              <w:rPr>
                <w:sz w:val="20"/>
              </w:rPr>
            </w:pPr>
            <w:r>
              <w:rPr>
                <w:sz w:val="20"/>
              </w:rPr>
              <w:t>Trade accounts receivable</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054" w:type="dxa"/>
            <w:tcBorders/>
            <w:vAlign w:val="center"/>
          </w:tcPr>
          <w:p>
            <w:pPr>
              <w:pStyle w:val="TableContents"/>
              <w:bidi w:val="0"/>
              <w:spacing w:before="0" w:after="283"/>
              <w:jc w:val="right"/>
              <w:rPr>
                <w:sz w:val="20"/>
              </w:rPr>
            </w:pPr>
            <w:r>
              <w:rPr>
                <w:sz w:val="20"/>
              </w:rPr>
              <w:t>7,642</w:t>
            </w:r>
          </w:p>
        </w:tc>
        <w:tc>
          <w:tcPr>
            <w:tcW w:w="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right"/>
              <w:rPr/>
            </w:pPr>
            <w:r>
              <w:rPr/>
              <w:t> </w:t>
            </w:r>
          </w:p>
        </w:tc>
        <w:tc>
          <w:tcPr>
            <w:tcW w:w="176" w:type="dxa"/>
            <w:tcBorders/>
            <w:vAlign w:val="center"/>
          </w:tcPr>
          <w:p>
            <w:pPr>
              <w:pStyle w:val="TableContents"/>
              <w:bidi w:val="0"/>
              <w:spacing w:before="0" w:after="283"/>
              <w:jc w:val="left"/>
              <w:rPr/>
            </w:pPr>
            <w:r>
              <w:rPr/>
              <w:t> </w:t>
            </w:r>
          </w:p>
        </w:tc>
        <w:tc>
          <w:tcPr>
            <w:tcW w:w="1069" w:type="dxa"/>
            <w:tcBorders/>
            <w:vAlign w:val="center"/>
          </w:tcPr>
          <w:p>
            <w:pPr>
              <w:pStyle w:val="TableContents"/>
              <w:bidi w:val="0"/>
              <w:spacing w:before="0" w:after="283"/>
              <w:jc w:val="right"/>
              <w:rPr>
                <w:sz w:val="20"/>
              </w:rPr>
            </w:pPr>
            <w:r>
              <w:rPr>
                <w:sz w:val="20"/>
              </w:rPr>
              <w:t>5,655</w:t>
            </w:r>
          </w:p>
        </w:tc>
        <w:tc>
          <w:tcPr>
            <w:tcW w:w="88" w:type="dxa"/>
            <w:tcBorders/>
            <w:vAlign w:val="center"/>
          </w:tcPr>
          <w:p>
            <w:pPr>
              <w:pStyle w:val="TableContents"/>
              <w:bidi w:val="0"/>
              <w:spacing w:before="0" w:after="283"/>
              <w:ind w:left="0" w:right="0" w:hanging="180"/>
              <w:jc w:val="left"/>
              <w:rPr/>
            </w:pPr>
            <w:r>
              <w:rPr/>
              <w:t> </w:t>
            </w:r>
            <w:bookmarkStart w:id="100" w:name="xdx_407_eus-gaap--AllowanceForDoubtfulAc"/>
            <w:bookmarkEnd w:id="100"/>
          </w:p>
        </w:tc>
      </w:tr>
      <w:tr>
        <w:trPr/>
        <w:tc>
          <w:tcPr>
            <w:tcW w:w="7430" w:type="dxa"/>
            <w:tcBorders/>
            <w:shd w:fill="CCEEFF" w:val="clear"/>
            <w:vAlign w:val="center"/>
          </w:tcPr>
          <w:p>
            <w:pPr>
              <w:pStyle w:val="TableContents"/>
              <w:bidi w:val="0"/>
              <w:spacing w:before="0" w:after="283"/>
              <w:jc w:val="left"/>
              <w:rPr>
                <w:sz w:val="20"/>
              </w:rPr>
            </w:pPr>
            <w:r>
              <w:rPr>
                <w:sz w:val="20"/>
              </w:rPr>
              <w:t>Allowance for credit losses</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054" w:type="dxa"/>
            <w:tcBorders/>
            <w:shd w:fill="CCEEFF" w:val="clear"/>
            <w:vAlign w:val="center"/>
          </w:tcPr>
          <w:p>
            <w:pPr>
              <w:pStyle w:val="TableContents"/>
              <w:bidi w:val="0"/>
              <w:spacing w:before="0" w:after="283"/>
              <w:jc w:val="right"/>
              <w:rPr>
                <w:sz w:val="20"/>
              </w:rPr>
            </w:pPr>
            <w:r>
              <w:rPr>
                <w:sz w:val="20"/>
              </w:rPr>
              <w:t>(806</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right"/>
              <w:rPr/>
            </w:pPr>
            <w:r>
              <w:rPr/>
              <w:t> </w:t>
            </w:r>
          </w:p>
        </w:tc>
        <w:tc>
          <w:tcPr>
            <w:tcW w:w="176" w:type="dxa"/>
            <w:tcBorders/>
            <w:shd w:fill="CCEEFF" w:val="clear"/>
            <w:vAlign w:val="center"/>
          </w:tcPr>
          <w:p>
            <w:pPr>
              <w:pStyle w:val="TableContents"/>
              <w:bidi w:val="0"/>
              <w:spacing w:before="0" w:after="283"/>
              <w:jc w:val="left"/>
              <w:rPr/>
            </w:pPr>
            <w:r>
              <w:rPr/>
              <w:t> </w:t>
            </w:r>
          </w:p>
        </w:tc>
        <w:tc>
          <w:tcPr>
            <w:tcW w:w="1069" w:type="dxa"/>
            <w:tcBorders/>
            <w:shd w:fill="CCEEFF" w:val="clear"/>
            <w:vAlign w:val="center"/>
          </w:tcPr>
          <w:p>
            <w:pPr>
              <w:pStyle w:val="TableContents"/>
              <w:bidi w:val="0"/>
              <w:spacing w:before="0" w:after="283"/>
              <w:jc w:val="right"/>
              <w:rPr>
                <w:sz w:val="20"/>
              </w:rPr>
            </w:pPr>
            <w:r>
              <w:rPr>
                <w:sz w:val="20"/>
              </w:rPr>
              <w:t>(786</w:t>
            </w:r>
          </w:p>
        </w:tc>
        <w:tc>
          <w:tcPr>
            <w:tcW w:w="88" w:type="dxa"/>
            <w:tcBorders/>
            <w:shd w:fill="CCEEFF" w:val="clear"/>
            <w:vAlign w:val="center"/>
          </w:tcPr>
          <w:p>
            <w:pPr>
              <w:pStyle w:val="TableContents"/>
              <w:bidi w:val="0"/>
              <w:spacing w:before="0" w:after="283"/>
              <w:ind w:left="0" w:right="0" w:hanging="180"/>
              <w:jc w:val="left"/>
              <w:rPr>
                <w:sz w:val="20"/>
              </w:rPr>
            </w:pPr>
            <w:r>
              <w:rPr>
                <w:sz w:val="20"/>
              </w:rPr>
              <w:t>)</w:t>
            </w:r>
            <w:bookmarkStart w:id="101" w:name="xdx_400_eus-gaap--AccountsReceivableNetC"/>
            <w:bookmarkEnd w:id="101"/>
          </w:p>
        </w:tc>
      </w:tr>
      <w:tr>
        <w:trPr/>
        <w:tc>
          <w:tcPr>
            <w:tcW w:w="7430" w:type="dxa"/>
            <w:tcBorders/>
            <w:vAlign w:val="center"/>
          </w:tcPr>
          <w:p>
            <w:pPr>
              <w:pStyle w:val="TableContents"/>
              <w:bidi w:val="0"/>
              <w:spacing w:before="0" w:after="283"/>
              <w:jc w:val="left"/>
              <w:rPr>
                <w:sz w:val="20"/>
              </w:rPr>
            </w:pPr>
            <w:r>
              <w:rPr>
                <w:sz w:val="20"/>
              </w:rPr>
              <w:t>Trade accounts receivable, net</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054" w:type="dxa"/>
            <w:tcBorders/>
            <w:vAlign w:val="center"/>
          </w:tcPr>
          <w:p>
            <w:pPr>
              <w:pStyle w:val="TableContents"/>
              <w:bidi w:val="0"/>
              <w:spacing w:before="0" w:after="283"/>
              <w:jc w:val="right"/>
              <w:rPr>
                <w:sz w:val="20"/>
              </w:rPr>
            </w:pPr>
            <w:r>
              <w:rPr>
                <w:sz w:val="20"/>
              </w:rPr>
              <w:t>6,836</w:t>
            </w:r>
          </w:p>
        </w:tc>
        <w:tc>
          <w:tcPr>
            <w:tcW w:w="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right"/>
              <w:rPr/>
            </w:pPr>
            <w:r>
              <w:rPr/>
              <w:t> </w:t>
            </w:r>
          </w:p>
        </w:tc>
        <w:tc>
          <w:tcPr>
            <w:tcW w:w="176" w:type="dxa"/>
            <w:tcBorders/>
            <w:vAlign w:val="center"/>
          </w:tcPr>
          <w:p>
            <w:pPr>
              <w:pStyle w:val="TableContents"/>
              <w:bidi w:val="0"/>
              <w:spacing w:before="0" w:after="283"/>
              <w:jc w:val="left"/>
              <w:rPr/>
            </w:pPr>
            <w:r>
              <w:rPr/>
              <w:t> </w:t>
            </w:r>
          </w:p>
        </w:tc>
        <w:tc>
          <w:tcPr>
            <w:tcW w:w="1069" w:type="dxa"/>
            <w:tcBorders/>
            <w:vAlign w:val="center"/>
          </w:tcPr>
          <w:p>
            <w:pPr>
              <w:pStyle w:val="TableContents"/>
              <w:bidi w:val="0"/>
              <w:spacing w:before="0" w:after="283"/>
              <w:jc w:val="right"/>
              <w:rPr>
                <w:sz w:val="20"/>
              </w:rPr>
            </w:pPr>
            <w:r>
              <w:rPr>
                <w:sz w:val="20"/>
              </w:rPr>
              <w:t>4,869</w:t>
            </w:r>
          </w:p>
        </w:tc>
        <w:tc>
          <w:tcPr>
            <w:tcW w:w="88" w:type="dxa"/>
            <w:tcBorders/>
            <w:vAlign w:val="center"/>
          </w:tcPr>
          <w:p>
            <w:pPr>
              <w:pStyle w:val="TableContents"/>
              <w:bidi w:val="0"/>
              <w:spacing w:before="0" w:after="283"/>
              <w:ind w:left="0" w:right="0" w:hanging="180"/>
              <w:jc w:val="left"/>
              <w:rPr/>
            </w:pPr>
            <w:r>
              <w:rPr/>
              <w:t> </w:t>
            </w:r>
            <w:bookmarkStart w:id="102" w:name="xdx_400_eus-gaap--InventoryNet_i02I_maCz"/>
            <w:bookmarkEnd w:id="102"/>
          </w:p>
        </w:tc>
      </w:tr>
      <w:tr>
        <w:trPr/>
        <w:tc>
          <w:tcPr>
            <w:tcW w:w="7430" w:type="dxa"/>
            <w:tcBorders/>
            <w:shd w:fill="CCEEFF" w:val="clear"/>
            <w:vAlign w:val="center"/>
          </w:tcPr>
          <w:p>
            <w:pPr>
              <w:pStyle w:val="TableContents"/>
              <w:bidi w:val="0"/>
              <w:spacing w:before="0" w:after="283"/>
              <w:jc w:val="left"/>
              <w:rPr>
                <w:sz w:val="20"/>
              </w:rPr>
            </w:pPr>
            <w:r>
              <w:rPr>
                <w:sz w:val="20"/>
              </w:rPr>
              <w:t>Inventories, net</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054" w:type="dxa"/>
            <w:tcBorders/>
            <w:shd w:fill="CCEEFF" w:val="clear"/>
            <w:vAlign w:val="center"/>
          </w:tcPr>
          <w:p>
            <w:pPr>
              <w:pStyle w:val="TableContents"/>
              <w:bidi w:val="0"/>
              <w:spacing w:before="0" w:after="283"/>
              <w:jc w:val="right"/>
              <w:rPr>
                <w:sz w:val="20"/>
              </w:rPr>
            </w:pPr>
            <w:r>
              <w:rPr>
                <w:sz w:val="20"/>
              </w:rPr>
              <w:t>18,511</w:t>
            </w:r>
          </w:p>
        </w:tc>
        <w:tc>
          <w:tcPr>
            <w:tcW w:w="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176" w:type="dxa"/>
            <w:tcBorders/>
            <w:shd w:fill="CCEEFF" w:val="clear"/>
            <w:vAlign w:val="center"/>
          </w:tcPr>
          <w:p>
            <w:pPr>
              <w:pStyle w:val="TableContents"/>
              <w:bidi w:val="0"/>
              <w:spacing w:before="0" w:after="283"/>
              <w:jc w:val="left"/>
              <w:rPr/>
            </w:pPr>
            <w:r>
              <w:rPr/>
              <w:t> </w:t>
            </w:r>
          </w:p>
        </w:tc>
        <w:tc>
          <w:tcPr>
            <w:tcW w:w="1069" w:type="dxa"/>
            <w:tcBorders/>
            <w:shd w:fill="CCEEFF" w:val="clear"/>
            <w:vAlign w:val="center"/>
          </w:tcPr>
          <w:p>
            <w:pPr>
              <w:pStyle w:val="TableContents"/>
              <w:bidi w:val="0"/>
              <w:spacing w:before="0" w:after="283"/>
              <w:jc w:val="right"/>
              <w:rPr>
                <w:sz w:val="20"/>
              </w:rPr>
            </w:pPr>
            <w:r>
              <w:rPr>
                <w:sz w:val="20"/>
              </w:rPr>
              <w:t>20,267</w:t>
            </w:r>
          </w:p>
        </w:tc>
        <w:tc>
          <w:tcPr>
            <w:tcW w:w="88" w:type="dxa"/>
            <w:tcBorders/>
            <w:shd w:fill="CCEEFF" w:val="clear"/>
            <w:vAlign w:val="center"/>
          </w:tcPr>
          <w:p>
            <w:pPr>
              <w:pStyle w:val="TableContents"/>
              <w:bidi w:val="0"/>
              <w:spacing w:before="0" w:after="283"/>
              <w:ind w:left="0" w:right="0" w:hanging="180"/>
              <w:jc w:val="left"/>
              <w:rPr/>
            </w:pPr>
            <w:r>
              <w:rPr/>
              <w:t> </w:t>
            </w:r>
            <w:bookmarkStart w:id="103" w:name="xdx_409_eus-gaap--PrepaidExpenseAndOther"/>
            <w:bookmarkEnd w:id="103"/>
          </w:p>
        </w:tc>
      </w:tr>
      <w:tr>
        <w:trPr/>
        <w:tc>
          <w:tcPr>
            <w:tcW w:w="7430" w:type="dxa"/>
            <w:tcBorders/>
            <w:vAlign w:val="center"/>
          </w:tcPr>
          <w:p>
            <w:pPr>
              <w:pStyle w:val="TableContents"/>
              <w:bidi w:val="0"/>
              <w:spacing w:before="0" w:after="283"/>
              <w:jc w:val="left"/>
              <w:rPr>
                <w:sz w:val="20"/>
              </w:rPr>
            </w:pPr>
            <w:r>
              <w:rPr>
                <w:sz w:val="20"/>
              </w:rPr>
              <w:t>Prepaid expenses and other current assets</w:t>
            </w:r>
          </w:p>
        </w:tc>
        <w:tc>
          <w:tcPr>
            <w:tcW w:w="60" w:type="dxa"/>
            <w:tcBorders/>
            <w:vAlign w:val="center"/>
          </w:tcPr>
          <w:p>
            <w:pPr>
              <w:pStyle w:val="TableContents"/>
              <w:bidi w:val="0"/>
              <w:spacing w:before="0" w:after="283"/>
              <w:jc w:val="left"/>
              <w:rPr/>
            </w:pPr>
            <w:r>
              <w:rPr/>
              <w:t> </w:t>
            </w:r>
          </w:p>
        </w:tc>
        <w:tc>
          <w:tcPr>
            <w:tcW w:w="188" w:type="dxa"/>
            <w:tcBorders>
              <w:bottom w:val="single" w:sz="8" w:space="0" w:color="000000"/>
            </w:tcBorders>
            <w:tcMar>
              <w:bottom w:w="28" w:type="dxa"/>
            </w:tcMar>
            <w:vAlign w:val="center"/>
          </w:tcPr>
          <w:p>
            <w:pPr>
              <w:pStyle w:val="TableContents"/>
              <w:bidi w:val="0"/>
              <w:spacing w:before="0" w:after="283"/>
              <w:jc w:val="left"/>
              <w:rPr/>
            </w:pPr>
            <w:r>
              <w:rPr/>
              <w:t> </w:t>
            </w:r>
          </w:p>
        </w:tc>
        <w:tc>
          <w:tcPr>
            <w:tcW w:w="1054" w:type="dxa"/>
            <w:tcBorders>
              <w:bottom w:val="single" w:sz="8" w:space="0" w:color="000000"/>
            </w:tcBorders>
            <w:tcMar>
              <w:bottom w:w="28" w:type="dxa"/>
            </w:tcMar>
            <w:vAlign w:val="center"/>
          </w:tcPr>
          <w:p>
            <w:pPr>
              <w:pStyle w:val="TableContents"/>
              <w:bidi w:val="0"/>
              <w:spacing w:before="0" w:after="283"/>
              <w:jc w:val="right"/>
              <w:rPr>
                <w:sz w:val="20"/>
              </w:rPr>
            </w:pPr>
            <w:r>
              <w:rPr>
                <w:sz w:val="20"/>
              </w:rPr>
              <w:t>2,141</w:t>
            </w:r>
          </w:p>
        </w:tc>
        <w:tc>
          <w:tcPr>
            <w:tcW w:w="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right"/>
              <w:rPr/>
            </w:pPr>
            <w:r>
              <w:rPr/>
              <w:t> </w:t>
            </w:r>
          </w:p>
        </w:tc>
        <w:tc>
          <w:tcPr>
            <w:tcW w:w="176" w:type="dxa"/>
            <w:tcBorders>
              <w:bottom w:val="single" w:sz="8" w:space="0" w:color="000000"/>
            </w:tcBorders>
            <w:tcMar>
              <w:bottom w:w="28" w:type="dxa"/>
            </w:tcMar>
            <w:vAlign w:val="center"/>
          </w:tcPr>
          <w:p>
            <w:pPr>
              <w:pStyle w:val="TableContents"/>
              <w:bidi w:val="0"/>
              <w:spacing w:before="0" w:after="283"/>
              <w:jc w:val="left"/>
              <w:rPr/>
            </w:pPr>
            <w:r>
              <w:rPr/>
              <w:t> </w:t>
            </w:r>
          </w:p>
        </w:tc>
        <w:tc>
          <w:tcPr>
            <w:tcW w:w="1069" w:type="dxa"/>
            <w:tcBorders>
              <w:bottom w:val="single" w:sz="8" w:space="0" w:color="000000"/>
            </w:tcBorders>
            <w:tcMar>
              <w:bottom w:w="28" w:type="dxa"/>
            </w:tcMar>
            <w:vAlign w:val="center"/>
          </w:tcPr>
          <w:p>
            <w:pPr>
              <w:pStyle w:val="TableContents"/>
              <w:bidi w:val="0"/>
              <w:spacing w:before="0" w:after="283"/>
              <w:jc w:val="right"/>
              <w:rPr>
                <w:sz w:val="20"/>
              </w:rPr>
            </w:pPr>
            <w:r>
              <w:rPr>
                <w:sz w:val="20"/>
              </w:rPr>
              <w:t>2,803</w:t>
            </w:r>
          </w:p>
        </w:tc>
        <w:tc>
          <w:tcPr>
            <w:tcW w:w="88" w:type="dxa"/>
            <w:tcBorders/>
            <w:vAlign w:val="center"/>
          </w:tcPr>
          <w:p>
            <w:pPr>
              <w:pStyle w:val="TableContents"/>
              <w:bidi w:val="0"/>
              <w:spacing w:before="0" w:after="283"/>
              <w:ind w:left="0" w:right="0" w:hanging="180"/>
              <w:jc w:val="left"/>
              <w:rPr/>
            </w:pPr>
            <w:r>
              <w:rPr/>
              <w:t> </w:t>
            </w:r>
            <w:bookmarkStart w:id="104" w:name="xdx_406_eus-gaap--AssetsCurrent_i02TI_mt"/>
            <w:bookmarkEnd w:id="104"/>
          </w:p>
        </w:tc>
      </w:tr>
      <w:tr>
        <w:trPr/>
        <w:tc>
          <w:tcPr>
            <w:tcW w:w="7430" w:type="dxa"/>
            <w:tcBorders/>
            <w:shd w:fill="CCEEFF" w:val="clear"/>
            <w:vAlign w:val="center"/>
          </w:tcPr>
          <w:p>
            <w:pPr>
              <w:pStyle w:val="TableContents"/>
              <w:bidi w:val="0"/>
              <w:spacing w:before="0" w:after="283"/>
              <w:jc w:val="left"/>
              <w:rPr>
                <w:sz w:val="20"/>
              </w:rPr>
            </w:pPr>
            <w:r>
              <w:rPr>
                <w:sz w:val="20"/>
              </w:rPr>
              <w:t>Total current assets</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054" w:type="dxa"/>
            <w:tcBorders/>
            <w:shd w:fill="CCEEFF" w:val="clear"/>
            <w:vAlign w:val="center"/>
          </w:tcPr>
          <w:p>
            <w:pPr>
              <w:pStyle w:val="TableContents"/>
              <w:bidi w:val="0"/>
              <w:spacing w:before="0" w:after="283"/>
              <w:jc w:val="right"/>
              <w:rPr>
                <w:sz w:val="20"/>
              </w:rPr>
            </w:pPr>
            <w:r>
              <w:rPr>
                <w:sz w:val="20"/>
              </w:rPr>
              <w:t>28,776</w:t>
            </w:r>
          </w:p>
        </w:tc>
        <w:tc>
          <w:tcPr>
            <w:tcW w:w="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176" w:type="dxa"/>
            <w:tcBorders/>
            <w:shd w:fill="CCEEFF" w:val="clear"/>
            <w:vAlign w:val="center"/>
          </w:tcPr>
          <w:p>
            <w:pPr>
              <w:pStyle w:val="TableContents"/>
              <w:bidi w:val="0"/>
              <w:spacing w:before="0" w:after="283"/>
              <w:jc w:val="left"/>
              <w:rPr/>
            </w:pPr>
            <w:r>
              <w:rPr/>
              <w:t> </w:t>
            </w:r>
          </w:p>
        </w:tc>
        <w:tc>
          <w:tcPr>
            <w:tcW w:w="1069" w:type="dxa"/>
            <w:tcBorders/>
            <w:shd w:fill="CCEEFF" w:val="clear"/>
            <w:vAlign w:val="center"/>
          </w:tcPr>
          <w:p>
            <w:pPr>
              <w:pStyle w:val="TableContents"/>
              <w:bidi w:val="0"/>
              <w:spacing w:before="0" w:after="283"/>
              <w:jc w:val="right"/>
              <w:rPr>
                <w:sz w:val="20"/>
              </w:rPr>
            </w:pPr>
            <w:r>
              <w:rPr>
                <w:sz w:val="20"/>
              </w:rPr>
              <w:t>29,348</w:t>
            </w:r>
          </w:p>
        </w:tc>
        <w:tc>
          <w:tcPr>
            <w:tcW w:w="88" w:type="dxa"/>
            <w:tcBorders/>
            <w:shd w:fill="CCEEFF" w:val="clear"/>
            <w:vAlign w:val="center"/>
          </w:tcPr>
          <w:p>
            <w:pPr>
              <w:pStyle w:val="TableContents"/>
              <w:bidi w:val="0"/>
              <w:spacing w:before="0" w:after="283"/>
              <w:ind w:left="0" w:right="0" w:hanging="180"/>
              <w:jc w:val="left"/>
              <w:rPr/>
            </w:pPr>
            <w:r>
              <w:rPr/>
              <w:t> </w:t>
            </w:r>
          </w:p>
        </w:tc>
      </w:tr>
      <w:tr>
        <w:trPr/>
        <w:tc>
          <w:tcPr>
            <w:tcW w:w="74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054"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right"/>
              <w:rPr/>
            </w:pPr>
            <w:r>
              <w:rPr/>
              <w:t> </w:t>
            </w:r>
          </w:p>
        </w:tc>
        <w:tc>
          <w:tcPr>
            <w:tcW w:w="176" w:type="dxa"/>
            <w:tcBorders/>
            <w:vAlign w:val="center"/>
          </w:tcPr>
          <w:p>
            <w:pPr>
              <w:pStyle w:val="TableContents"/>
              <w:bidi w:val="0"/>
              <w:spacing w:before="0" w:after="283"/>
              <w:jc w:val="left"/>
              <w:rPr/>
            </w:pPr>
            <w:r>
              <w:rPr/>
              <w:t> </w:t>
            </w:r>
          </w:p>
        </w:tc>
        <w:tc>
          <w:tcPr>
            <w:tcW w:w="1069" w:type="dxa"/>
            <w:tcBorders/>
            <w:vAlign w:val="center"/>
          </w:tcPr>
          <w:p>
            <w:pPr>
              <w:pStyle w:val="TableContents"/>
              <w:bidi w:val="0"/>
              <w:spacing w:before="0" w:after="283"/>
              <w:jc w:val="right"/>
              <w:rPr/>
            </w:pPr>
            <w:r>
              <w:rPr/>
              <w:t> </w:t>
            </w:r>
          </w:p>
        </w:tc>
        <w:tc>
          <w:tcPr>
            <w:tcW w:w="88" w:type="dxa"/>
            <w:tcBorders/>
            <w:vAlign w:val="center"/>
          </w:tcPr>
          <w:p>
            <w:pPr>
              <w:pStyle w:val="TableContents"/>
              <w:bidi w:val="0"/>
              <w:spacing w:before="0" w:after="283"/>
              <w:ind w:left="0" w:right="0" w:hanging="180"/>
              <w:jc w:val="left"/>
              <w:rPr/>
            </w:pPr>
            <w:r>
              <w:rPr/>
              <w:t> </w:t>
            </w:r>
            <w:bookmarkStart w:id="105" w:name="xdx_40D_eus-gaap--PropertyPlantAndEquipm"/>
            <w:bookmarkEnd w:id="105"/>
          </w:p>
        </w:tc>
      </w:tr>
      <w:tr>
        <w:trPr/>
        <w:tc>
          <w:tcPr>
            <w:tcW w:w="7430" w:type="dxa"/>
            <w:tcBorders/>
            <w:shd w:fill="CCEEFF" w:val="clear"/>
            <w:vAlign w:val="center"/>
          </w:tcPr>
          <w:p>
            <w:pPr>
              <w:pStyle w:val="TableContents"/>
              <w:bidi w:val="0"/>
              <w:spacing w:before="0" w:after="283"/>
              <w:jc w:val="left"/>
              <w:rPr>
                <w:sz w:val="20"/>
              </w:rPr>
            </w:pPr>
            <w:r>
              <w:rPr>
                <w:sz w:val="20"/>
              </w:rPr>
              <w:t>Equipment and leasehold improvements, net</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054" w:type="dxa"/>
            <w:tcBorders/>
            <w:shd w:fill="CCEEFF" w:val="clear"/>
            <w:vAlign w:val="center"/>
          </w:tcPr>
          <w:p>
            <w:pPr>
              <w:pStyle w:val="TableContents"/>
              <w:bidi w:val="0"/>
              <w:spacing w:before="0" w:after="283"/>
              <w:jc w:val="right"/>
              <w:rPr>
                <w:sz w:val="20"/>
              </w:rPr>
            </w:pPr>
            <w:r>
              <w:rPr>
                <w:sz w:val="20"/>
              </w:rPr>
              <w:t>14,329</w:t>
            </w:r>
          </w:p>
        </w:tc>
        <w:tc>
          <w:tcPr>
            <w:tcW w:w="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176" w:type="dxa"/>
            <w:tcBorders/>
            <w:shd w:fill="CCEEFF" w:val="clear"/>
            <w:vAlign w:val="center"/>
          </w:tcPr>
          <w:p>
            <w:pPr>
              <w:pStyle w:val="TableContents"/>
              <w:bidi w:val="0"/>
              <w:spacing w:before="0" w:after="283"/>
              <w:jc w:val="left"/>
              <w:rPr/>
            </w:pPr>
            <w:r>
              <w:rPr/>
              <w:t> </w:t>
            </w:r>
          </w:p>
        </w:tc>
        <w:tc>
          <w:tcPr>
            <w:tcW w:w="1069" w:type="dxa"/>
            <w:tcBorders/>
            <w:shd w:fill="CCEEFF" w:val="clear"/>
            <w:vAlign w:val="center"/>
          </w:tcPr>
          <w:p>
            <w:pPr>
              <w:pStyle w:val="TableContents"/>
              <w:bidi w:val="0"/>
              <w:spacing w:before="0" w:after="283"/>
              <w:jc w:val="right"/>
              <w:rPr>
                <w:sz w:val="20"/>
              </w:rPr>
            </w:pPr>
            <w:r>
              <w:rPr>
                <w:sz w:val="20"/>
              </w:rPr>
              <w:t>12,734</w:t>
            </w:r>
          </w:p>
        </w:tc>
        <w:tc>
          <w:tcPr>
            <w:tcW w:w="88" w:type="dxa"/>
            <w:tcBorders/>
            <w:shd w:fill="CCEEFF" w:val="clear"/>
            <w:vAlign w:val="center"/>
          </w:tcPr>
          <w:p>
            <w:pPr>
              <w:pStyle w:val="TableContents"/>
              <w:bidi w:val="0"/>
              <w:spacing w:before="0" w:after="283"/>
              <w:ind w:left="0" w:right="0" w:hanging="180"/>
              <w:jc w:val="left"/>
              <w:rPr/>
            </w:pPr>
            <w:r>
              <w:rPr/>
              <w:t> </w:t>
            </w:r>
            <w:bookmarkStart w:id="106" w:name="xdx_409_eus-gaap--OperatingLeaseRightOfU"/>
            <w:bookmarkEnd w:id="106"/>
          </w:p>
        </w:tc>
      </w:tr>
      <w:tr>
        <w:trPr/>
        <w:tc>
          <w:tcPr>
            <w:tcW w:w="7430" w:type="dxa"/>
            <w:tcBorders/>
            <w:vAlign w:val="center"/>
          </w:tcPr>
          <w:p>
            <w:pPr>
              <w:pStyle w:val="TableContents"/>
              <w:bidi w:val="0"/>
              <w:spacing w:before="0" w:after="283"/>
              <w:jc w:val="left"/>
              <w:rPr>
                <w:sz w:val="20"/>
              </w:rPr>
            </w:pPr>
            <w:r>
              <w:rPr>
                <w:sz w:val="20"/>
              </w:rPr>
              <w:t>Operating leases, right of use</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054" w:type="dxa"/>
            <w:tcBorders/>
            <w:vAlign w:val="center"/>
          </w:tcPr>
          <w:p>
            <w:pPr>
              <w:pStyle w:val="TableContents"/>
              <w:bidi w:val="0"/>
              <w:spacing w:before="0" w:after="283"/>
              <w:jc w:val="right"/>
              <w:rPr>
                <w:sz w:val="20"/>
              </w:rPr>
            </w:pPr>
            <w:r>
              <w:rPr>
                <w:sz w:val="20"/>
              </w:rPr>
              <w:t>6,913</w:t>
            </w:r>
          </w:p>
        </w:tc>
        <w:tc>
          <w:tcPr>
            <w:tcW w:w="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right"/>
              <w:rPr/>
            </w:pPr>
            <w:r>
              <w:rPr/>
              <w:t> </w:t>
            </w:r>
          </w:p>
        </w:tc>
        <w:tc>
          <w:tcPr>
            <w:tcW w:w="176" w:type="dxa"/>
            <w:tcBorders/>
            <w:vAlign w:val="center"/>
          </w:tcPr>
          <w:p>
            <w:pPr>
              <w:pStyle w:val="TableContents"/>
              <w:bidi w:val="0"/>
              <w:spacing w:before="0" w:after="283"/>
              <w:jc w:val="left"/>
              <w:rPr/>
            </w:pPr>
            <w:r>
              <w:rPr/>
              <w:t> </w:t>
            </w:r>
          </w:p>
        </w:tc>
        <w:tc>
          <w:tcPr>
            <w:tcW w:w="1069" w:type="dxa"/>
            <w:tcBorders/>
            <w:vAlign w:val="center"/>
          </w:tcPr>
          <w:p>
            <w:pPr>
              <w:pStyle w:val="TableContents"/>
              <w:bidi w:val="0"/>
              <w:spacing w:before="0" w:after="283"/>
              <w:jc w:val="right"/>
              <w:rPr>
                <w:sz w:val="20"/>
              </w:rPr>
            </w:pPr>
            <w:r>
              <w:rPr>
                <w:sz w:val="20"/>
              </w:rPr>
              <w:t>7,917</w:t>
            </w:r>
          </w:p>
        </w:tc>
        <w:tc>
          <w:tcPr>
            <w:tcW w:w="88" w:type="dxa"/>
            <w:tcBorders/>
            <w:vAlign w:val="center"/>
          </w:tcPr>
          <w:p>
            <w:pPr>
              <w:pStyle w:val="TableContents"/>
              <w:bidi w:val="0"/>
              <w:spacing w:before="0" w:after="283"/>
              <w:ind w:left="0" w:right="0" w:hanging="180"/>
              <w:jc w:val="left"/>
              <w:rPr/>
            </w:pPr>
            <w:r>
              <w:rPr/>
              <w:t> </w:t>
            </w:r>
            <w:bookmarkStart w:id="107" w:name="xdx_40D_eus-gaap--OtherAssetsNoncurrent_"/>
            <w:bookmarkEnd w:id="107"/>
          </w:p>
        </w:tc>
      </w:tr>
      <w:tr>
        <w:trPr/>
        <w:tc>
          <w:tcPr>
            <w:tcW w:w="7430" w:type="dxa"/>
            <w:tcBorders/>
            <w:shd w:fill="CCEEFF" w:val="clear"/>
            <w:vAlign w:val="center"/>
          </w:tcPr>
          <w:p>
            <w:pPr>
              <w:pStyle w:val="TableContents"/>
              <w:bidi w:val="0"/>
              <w:spacing w:before="0" w:after="283"/>
              <w:jc w:val="left"/>
              <w:rPr>
                <w:sz w:val="20"/>
              </w:rPr>
            </w:pPr>
            <w:r>
              <w:rPr>
                <w:sz w:val="20"/>
              </w:rPr>
              <w:t>Other assets, net</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4"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37</w:t>
            </w:r>
          </w:p>
        </w:tc>
        <w:tc>
          <w:tcPr>
            <w:tcW w:w="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17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69"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3</w:t>
            </w:r>
          </w:p>
        </w:tc>
        <w:tc>
          <w:tcPr>
            <w:tcW w:w="88" w:type="dxa"/>
            <w:tcBorders/>
            <w:shd w:fill="CCEEFF" w:val="clear"/>
            <w:vAlign w:val="center"/>
          </w:tcPr>
          <w:p>
            <w:pPr>
              <w:pStyle w:val="TableContents"/>
              <w:bidi w:val="0"/>
              <w:spacing w:before="0" w:after="283"/>
              <w:ind w:left="0" w:right="0" w:hanging="180"/>
              <w:jc w:val="left"/>
              <w:rPr/>
            </w:pPr>
            <w:r>
              <w:rPr/>
              <w:t> </w:t>
            </w:r>
            <w:bookmarkStart w:id="108" w:name="xdx_40E_eus-gaap--Assets_i01TI_mtCzPil_z"/>
            <w:bookmarkEnd w:id="108"/>
          </w:p>
        </w:tc>
      </w:tr>
      <w:tr>
        <w:trPr/>
        <w:tc>
          <w:tcPr>
            <w:tcW w:w="7430" w:type="dxa"/>
            <w:tcBorders/>
            <w:vAlign w:val="center"/>
          </w:tcPr>
          <w:p>
            <w:pPr>
              <w:pStyle w:val="TableContents"/>
              <w:bidi w:val="0"/>
              <w:spacing w:before="0" w:after="283"/>
              <w:jc w:val="left"/>
              <w:rPr/>
            </w:pPr>
            <w:r>
              <w:rPr/>
              <w:t> </w:t>
            </w:r>
            <w:r>
              <w:rPr>
                <w:sz w:val="20"/>
              </w:rPr>
              <w:t>Total assets</w:t>
            </w:r>
          </w:p>
        </w:tc>
        <w:tc>
          <w:tcPr>
            <w:tcW w:w="60" w:type="dxa"/>
            <w:tcBorders/>
            <w:vAlign w:val="center"/>
          </w:tcPr>
          <w:p>
            <w:pPr>
              <w:pStyle w:val="TableContents"/>
              <w:bidi w:val="0"/>
              <w:spacing w:before="0" w:after="283"/>
              <w:jc w:val="left"/>
              <w:rPr/>
            </w:pPr>
            <w:r>
              <w:rPr/>
              <w:t> </w:t>
            </w:r>
          </w:p>
        </w:tc>
        <w:tc>
          <w:tcPr>
            <w:tcW w:w="188" w:type="dxa"/>
            <w:tcBorders>
              <w:bottom w:val="double" w:sz="6" w:space="0" w:color="000000"/>
            </w:tcBorders>
            <w:tcMar>
              <w:bottom w:w="28" w:type="dxa"/>
            </w:tcMar>
            <w:vAlign w:val="center"/>
          </w:tcPr>
          <w:p>
            <w:pPr>
              <w:pStyle w:val="TableContents"/>
              <w:bidi w:val="0"/>
              <w:spacing w:before="0" w:after="283"/>
              <w:jc w:val="left"/>
              <w:rPr>
                <w:sz w:val="20"/>
              </w:rPr>
            </w:pPr>
            <w:r>
              <w:rPr>
                <w:sz w:val="20"/>
              </w:rPr>
              <w:t>$</w:t>
            </w:r>
          </w:p>
        </w:tc>
        <w:tc>
          <w:tcPr>
            <w:tcW w:w="105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50,055</w:t>
            </w:r>
          </w:p>
        </w:tc>
        <w:tc>
          <w:tcPr>
            <w:tcW w:w="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right"/>
              <w:rPr/>
            </w:pPr>
            <w:r>
              <w:rPr/>
              <w:t> </w:t>
            </w:r>
          </w:p>
        </w:tc>
        <w:tc>
          <w:tcPr>
            <w:tcW w:w="176" w:type="dxa"/>
            <w:tcBorders>
              <w:bottom w:val="double" w:sz="6" w:space="0" w:color="000000"/>
            </w:tcBorders>
            <w:tcMar>
              <w:bottom w:w="28" w:type="dxa"/>
            </w:tcMar>
            <w:vAlign w:val="center"/>
          </w:tcPr>
          <w:p>
            <w:pPr>
              <w:pStyle w:val="TableContents"/>
              <w:bidi w:val="0"/>
              <w:spacing w:before="0" w:after="283"/>
              <w:jc w:val="left"/>
              <w:rPr>
                <w:sz w:val="20"/>
              </w:rPr>
            </w:pPr>
            <w:r>
              <w:rPr>
                <w:sz w:val="20"/>
              </w:rPr>
              <w:t>$</w:t>
            </w:r>
          </w:p>
        </w:tc>
        <w:tc>
          <w:tcPr>
            <w:tcW w:w="1069" w:type="dxa"/>
            <w:tcBorders>
              <w:bottom w:val="double" w:sz="6" w:space="0" w:color="000000"/>
            </w:tcBorders>
            <w:tcMar>
              <w:bottom w:w="28" w:type="dxa"/>
            </w:tcMar>
            <w:vAlign w:val="center"/>
          </w:tcPr>
          <w:p>
            <w:pPr>
              <w:pStyle w:val="TableContents"/>
              <w:bidi w:val="0"/>
              <w:spacing w:before="0" w:after="283"/>
              <w:jc w:val="right"/>
              <w:rPr>
                <w:sz w:val="20"/>
              </w:rPr>
            </w:pPr>
            <w:r>
              <w:rPr>
                <w:sz w:val="20"/>
              </w:rPr>
              <w:t>50,002</w:t>
            </w:r>
          </w:p>
        </w:tc>
        <w:tc>
          <w:tcPr>
            <w:tcW w:w="88" w:type="dxa"/>
            <w:tcBorders/>
            <w:vAlign w:val="center"/>
          </w:tcPr>
          <w:p>
            <w:pPr>
              <w:pStyle w:val="TableContents"/>
              <w:bidi w:val="0"/>
              <w:spacing w:before="0" w:after="283"/>
              <w:ind w:left="0" w:right="0" w:hanging="180"/>
              <w:jc w:val="left"/>
              <w:rPr/>
            </w:pPr>
            <w:r>
              <w:rPr/>
              <w:t> </w:t>
            </w:r>
            <w:bookmarkStart w:id="109" w:name="xdx_401_eus-gaap--LiabilitiesAndStockhol"/>
            <w:bookmarkEnd w:id="109"/>
          </w:p>
        </w:tc>
      </w:tr>
      <w:tr>
        <w:trPr/>
        <w:tc>
          <w:tcPr>
            <w:tcW w:w="7430" w:type="dxa"/>
            <w:tcBorders/>
            <w:shd w:fill="CCEEFF" w:val="clear"/>
            <w:vAlign w:val="center"/>
          </w:tcPr>
          <w:p>
            <w:pPr>
              <w:pStyle w:val="TableContents"/>
              <w:bidi w:val="0"/>
              <w:spacing w:before="0" w:after="283"/>
              <w:jc w:val="center"/>
              <w:rPr>
                <w:b/>
                <w:sz w:val="20"/>
              </w:rPr>
            </w:pPr>
            <w:r>
              <w:rPr>
                <w:b/>
                <w:sz w:val="20"/>
              </w:rPr>
              <w:t>LIABILITIES AND STOCKHOLDERS’ EQUITY</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05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176" w:type="dxa"/>
            <w:tcBorders/>
            <w:shd w:fill="CCEEFF" w:val="clear"/>
            <w:vAlign w:val="center"/>
          </w:tcPr>
          <w:p>
            <w:pPr>
              <w:pStyle w:val="TableContents"/>
              <w:bidi w:val="0"/>
              <w:spacing w:before="0" w:after="283"/>
              <w:jc w:val="left"/>
              <w:rPr/>
            </w:pPr>
            <w:r>
              <w:rPr/>
              <w:t> </w:t>
            </w:r>
          </w:p>
        </w:tc>
        <w:tc>
          <w:tcPr>
            <w:tcW w:w="1069" w:type="dxa"/>
            <w:tcBorders/>
            <w:shd w:fill="CCEEFF" w:val="clear"/>
            <w:vAlign w:val="center"/>
          </w:tcPr>
          <w:p>
            <w:pPr>
              <w:pStyle w:val="TableContents"/>
              <w:bidi w:val="0"/>
              <w:spacing w:before="0" w:after="283"/>
              <w:jc w:val="right"/>
              <w:rPr/>
            </w:pPr>
            <w:r>
              <w:rPr/>
              <w:t> </w:t>
            </w:r>
          </w:p>
        </w:tc>
        <w:tc>
          <w:tcPr>
            <w:tcW w:w="88" w:type="dxa"/>
            <w:tcBorders/>
            <w:shd w:fill="CCEEFF" w:val="clear"/>
            <w:vAlign w:val="center"/>
          </w:tcPr>
          <w:p>
            <w:pPr>
              <w:pStyle w:val="TableContents"/>
              <w:bidi w:val="0"/>
              <w:spacing w:before="0" w:after="283"/>
              <w:ind w:left="0" w:right="0" w:hanging="180"/>
              <w:jc w:val="left"/>
              <w:rPr/>
            </w:pPr>
            <w:r>
              <w:rPr/>
              <w:t> </w:t>
            </w:r>
          </w:p>
        </w:tc>
      </w:tr>
      <w:tr>
        <w:trPr/>
        <w:tc>
          <w:tcPr>
            <w:tcW w:w="74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054"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right"/>
              <w:rPr/>
            </w:pPr>
            <w:r>
              <w:rPr/>
              <w:t> </w:t>
            </w:r>
          </w:p>
        </w:tc>
        <w:tc>
          <w:tcPr>
            <w:tcW w:w="176" w:type="dxa"/>
            <w:tcBorders/>
            <w:vAlign w:val="center"/>
          </w:tcPr>
          <w:p>
            <w:pPr>
              <w:pStyle w:val="TableContents"/>
              <w:bidi w:val="0"/>
              <w:spacing w:before="0" w:after="283"/>
              <w:jc w:val="left"/>
              <w:rPr/>
            </w:pPr>
            <w:r>
              <w:rPr/>
              <w:t> </w:t>
            </w:r>
          </w:p>
        </w:tc>
        <w:tc>
          <w:tcPr>
            <w:tcW w:w="1069" w:type="dxa"/>
            <w:tcBorders/>
            <w:vAlign w:val="center"/>
          </w:tcPr>
          <w:p>
            <w:pPr>
              <w:pStyle w:val="TableContents"/>
              <w:bidi w:val="0"/>
              <w:spacing w:before="0" w:after="283"/>
              <w:jc w:val="right"/>
              <w:rPr/>
            </w:pPr>
            <w:r>
              <w:rPr/>
              <w:t> </w:t>
            </w:r>
          </w:p>
        </w:tc>
        <w:tc>
          <w:tcPr>
            <w:tcW w:w="88" w:type="dxa"/>
            <w:tcBorders/>
            <w:vAlign w:val="center"/>
          </w:tcPr>
          <w:p>
            <w:pPr>
              <w:pStyle w:val="TableContents"/>
              <w:bidi w:val="0"/>
              <w:spacing w:before="0" w:after="283"/>
              <w:ind w:left="0" w:right="0" w:hanging="180"/>
              <w:jc w:val="left"/>
              <w:rPr/>
            </w:pPr>
            <w:r>
              <w:rPr/>
              <w:t> </w:t>
            </w:r>
            <w:bookmarkStart w:id="110" w:name="xdx_408_eus-gaap--LiabilitiesCurrentAbst"/>
            <w:bookmarkEnd w:id="110"/>
          </w:p>
        </w:tc>
      </w:tr>
      <w:tr>
        <w:trPr/>
        <w:tc>
          <w:tcPr>
            <w:tcW w:w="7430" w:type="dxa"/>
            <w:tcBorders/>
            <w:shd w:fill="CCEEFF" w:val="clear"/>
            <w:vAlign w:val="center"/>
          </w:tcPr>
          <w:p>
            <w:pPr>
              <w:pStyle w:val="TableContents"/>
              <w:bidi w:val="0"/>
              <w:spacing w:before="0" w:after="283"/>
              <w:jc w:val="left"/>
              <w:rPr>
                <w:b/>
                <w:sz w:val="20"/>
              </w:rPr>
            </w:pPr>
            <w:r>
              <w:rPr>
                <w:b/>
                <w:sz w:val="20"/>
              </w:rPr>
              <w:t>Current liabilities:</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05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176" w:type="dxa"/>
            <w:tcBorders/>
            <w:shd w:fill="CCEEFF" w:val="clear"/>
            <w:vAlign w:val="center"/>
          </w:tcPr>
          <w:p>
            <w:pPr>
              <w:pStyle w:val="TableContents"/>
              <w:bidi w:val="0"/>
              <w:spacing w:before="0" w:after="283"/>
              <w:jc w:val="left"/>
              <w:rPr/>
            </w:pPr>
            <w:r>
              <w:rPr/>
              <w:t> </w:t>
            </w:r>
          </w:p>
        </w:tc>
        <w:tc>
          <w:tcPr>
            <w:tcW w:w="1069" w:type="dxa"/>
            <w:tcBorders/>
            <w:shd w:fill="CCEEFF" w:val="clear"/>
            <w:vAlign w:val="center"/>
          </w:tcPr>
          <w:p>
            <w:pPr>
              <w:pStyle w:val="TableContents"/>
              <w:bidi w:val="0"/>
              <w:spacing w:before="0" w:after="283"/>
              <w:jc w:val="right"/>
              <w:rPr/>
            </w:pPr>
            <w:r>
              <w:rPr/>
              <w:t> </w:t>
            </w:r>
          </w:p>
        </w:tc>
        <w:tc>
          <w:tcPr>
            <w:tcW w:w="88" w:type="dxa"/>
            <w:tcBorders/>
            <w:shd w:fill="CCEEFF" w:val="clear"/>
            <w:vAlign w:val="center"/>
          </w:tcPr>
          <w:p>
            <w:pPr>
              <w:pStyle w:val="TableContents"/>
              <w:bidi w:val="0"/>
              <w:spacing w:before="0" w:after="283"/>
              <w:ind w:left="0" w:right="0" w:hanging="180"/>
              <w:jc w:val="left"/>
              <w:rPr/>
            </w:pPr>
            <w:r>
              <w:rPr/>
              <w:t> </w:t>
            </w:r>
            <w:bookmarkStart w:id="111" w:name="xdx_40F_eus-gaap--LinesOfCreditCurrent_i"/>
            <w:bookmarkEnd w:id="111"/>
          </w:p>
        </w:tc>
      </w:tr>
      <w:tr>
        <w:trPr/>
        <w:tc>
          <w:tcPr>
            <w:tcW w:w="7430" w:type="dxa"/>
            <w:tcBorders/>
            <w:vAlign w:val="center"/>
          </w:tcPr>
          <w:p>
            <w:pPr>
              <w:pStyle w:val="TableContents"/>
              <w:bidi w:val="0"/>
              <w:spacing w:before="0" w:after="283"/>
              <w:jc w:val="left"/>
              <w:rPr>
                <w:sz w:val="20"/>
              </w:rPr>
            </w:pPr>
            <w:r>
              <w:rPr>
                <w:sz w:val="20"/>
              </w:rPr>
              <w:t>Line of credit – accounts receivable, related party</w:t>
            </w:r>
          </w:p>
        </w:tc>
        <w:tc>
          <w:tcPr>
            <w:tcW w:w="60" w:type="dxa"/>
            <w:tcBorders/>
            <w:vAlign w:val="center"/>
          </w:tcPr>
          <w:p>
            <w:pPr>
              <w:pStyle w:val="TableContents"/>
              <w:bidi w:val="0"/>
              <w:spacing w:before="0" w:after="283"/>
              <w:jc w:val="right"/>
              <w:rPr/>
            </w:pPr>
            <w:r>
              <w:rPr/>
              <w:t> </w:t>
            </w:r>
          </w:p>
        </w:tc>
        <w:tc>
          <w:tcPr>
            <w:tcW w:w="188" w:type="dxa"/>
            <w:tcBorders/>
            <w:vAlign w:val="center"/>
          </w:tcPr>
          <w:p>
            <w:pPr>
              <w:pStyle w:val="TableContents"/>
              <w:bidi w:val="0"/>
              <w:spacing w:before="0" w:after="283"/>
              <w:jc w:val="left"/>
              <w:rPr>
                <w:sz w:val="20"/>
              </w:rPr>
            </w:pPr>
            <w:r>
              <w:rPr>
                <w:sz w:val="20"/>
              </w:rPr>
              <w:t>$</w:t>
            </w:r>
          </w:p>
        </w:tc>
        <w:tc>
          <w:tcPr>
            <w:tcW w:w="1054" w:type="dxa"/>
            <w:tcBorders/>
            <w:vAlign w:val="center"/>
          </w:tcPr>
          <w:p>
            <w:pPr>
              <w:pStyle w:val="TableContents"/>
              <w:bidi w:val="0"/>
              <w:spacing w:before="0" w:after="283"/>
              <w:jc w:val="right"/>
              <w:rPr>
                <w:sz w:val="20"/>
              </w:rPr>
            </w:pPr>
            <w:r>
              <w:rPr>
                <w:sz w:val="20"/>
              </w:rPr>
              <w:t>4,767</w:t>
            </w:r>
          </w:p>
        </w:tc>
        <w:tc>
          <w:tcPr>
            <w:tcW w:w="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right"/>
              <w:rPr/>
            </w:pPr>
            <w:r>
              <w:rPr/>
              <w:t> </w:t>
            </w:r>
          </w:p>
        </w:tc>
        <w:tc>
          <w:tcPr>
            <w:tcW w:w="176" w:type="dxa"/>
            <w:tcBorders/>
            <w:vAlign w:val="center"/>
          </w:tcPr>
          <w:p>
            <w:pPr>
              <w:pStyle w:val="TableContents"/>
              <w:bidi w:val="0"/>
              <w:spacing w:before="0" w:after="283"/>
              <w:jc w:val="left"/>
              <w:rPr>
                <w:sz w:val="20"/>
              </w:rPr>
            </w:pPr>
            <w:r>
              <w:rPr>
                <w:sz w:val="20"/>
              </w:rPr>
              <w:t>$</w:t>
            </w:r>
          </w:p>
        </w:tc>
        <w:tc>
          <w:tcPr>
            <w:tcW w:w="1069" w:type="dxa"/>
            <w:tcBorders/>
            <w:vAlign w:val="center"/>
          </w:tcPr>
          <w:p>
            <w:pPr>
              <w:pStyle w:val="TableContents"/>
              <w:bidi w:val="0"/>
              <w:spacing w:before="0" w:after="283"/>
              <w:jc w:val="right"/>
              <w:rPr/>
            </w:pPr>
            <w:r>
              <w:rPr/>
              <w:t>—</w:t>
            </w:r>
          </w:p>
        </w:tc>
        <w:tc>
          <w:tcPr>
            <w:tcW w:w="88" w:type="dxa"/>
            <w:tcBorders/>
            <w:vAlign w:val="center"/>
          </w:tcPr>
          <w:p>
            <w:pPr>
              <w:pStyle w:val="TableContents"/>
              <w:bidi w:val="0"/>
              <w:spacing w:before="0" w:after="283"/>
              <w:ind w:left="0" w:right="0" w:hanging="180"/>
              <w:jc w:val="left"/>
              <w:rPr/>
            </w:pPr>
            <w:r>
              <w:rPr/>
              <w:t> </w:t>
            </w:r>
            <w:bookmarkStart w:id="112" w:name="xdx_40D_ecustom--LinesOfCreditInventoryC"/>
            <w:bookmarkEnd w:id="112"/>
          </w:p>
        </w:tc>
      </w:tr>
      <w:tr>
        <w:trPr/>
        <w:tc>
          <w:tcPr>
            <w:tcW w:w="7430" w:type="dxa"/>
            <w:tcBorders/>
            <w:shd w:fill="CCEEFF" w:val="clear"/>
            <w:vAlign w:val="center"/>
          </w:tcPr>
          <w:p>
            <w:pPr>
              <w:pStyle w:val="TableContents"/>
              <w:bidi w:val="0"/>
              <w:spacing w:before="0" w:after="283"/>
              <w:jc w:val="left"/>
              <w:rPr>
                <w:sz w:val="20"/>
              </w:rPr>
            </w:pPr>
            <w:r>
              <w:rPr>
                <w:sz w:val="20"/>
              </w:rPr>
              <w:t>Current portion of line of credit – inventory, related party</w:t>
            </w:r>
          </w:p>
        </w:tc>
        <w:tc>
          <w:tcPr>
            <w:tcW w:w="60" w:type="dxa"/>
            <w:tcBorders/>
            <w:shd w:fill="CCEEFF" w:val="clear"/>
            <w:vAlign w:val="center"/>
          </w:tcPr>
          <w:p>
            <w:pPr>
              <w:pStyle w:val="TableContents"/>
              <w:bidi w:val="0"/>
              <w:spacing w:before="0" w:after="283"/>
              <w:jc w:val="right"/>
              <w:rPr/>
            </w:pPr>
            <w:r>
              <w:rPr/>
              <w:t> </w:t>
            </w:r>
          </w:p>
        </w:tc>
        <w:tc>
          <w:tcPr>
            <w:tcW w:w="188" w:type="dxa"/>
            <w:tcBorders/>
            <w:shd w:fill="CCEEFF" w:val="clear"/>
            <w:vAlign w:val="center"/>
          </w:tcPr>
          <w:p>
            <w:pPr>
              <w:pStyle w:val="TableContents"/>
              <w:bidi w:val="0"/>
              <w:spacing w:before="0" w:after="283"/>
              <w:jc w:val="left"/>
              <w:rPr/>
            </w:pPr>
            <w:r>
              <w:rPr/>
              <w:t> </w:t>
            </w:r>
          </w:p>
        </w:tc>
        <w:tc>
          <w:tcPr>
            <w:tcW w:w="1054"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176" w:type="dxa"/>
            <w:tcBorders/>
            <w:shd w:fill="CCEEFF" w:val="clear"/>
            <w:vAlign w:val="center"/>
          </w:tcPr>
          <w:p>
            <w:pPr>
              <w:pStyle w:val="TableContents"/>
              <w:bidi w:val="0"/>
              <w:spacing w:before="0" w:after="283"/>
              <w:jc w:val="left"/>
              <w:rPr/>
            </w:pPr>
            <w:r>
              <w:rPr/>
              <w:t> </w:t>
            </w:r>
          </w:p>
        </w:tc>
        <w:tc>
          <w:tcPr>
            <w:tcW w:w="1069" w:type="dxa"/>
            <w:tcBorders/>
            <w:shd w:fill="CCEEFF" w:val="clear"/>
            <w:vAlign w:val="center"/>
          </w:tcPr>
          <w:p>
            <w:pPr>
              <w:pStyle w:val="TableContents"/>
              <w:bidi w:val="0"/>
              <w:spacing w:before="0" w:after="283"/>
              <w:jc w:val="right"/>
              <w:rPr>
                <w:sz w:val="20"/>
              </w:rPr>
            </w:pPr>
            <w:r>
              <w:rPr>
                <w:sz w:val="20"/>
              </w:rPr>
              <w:t>4,000</w:t>
            </w:r>
          </w:p>
        </w:tc>
        <w:tc>
          <w:tcPr>
            <w:tcW w:w="88" w:type="dxa"/>
            <w:tcBorders/>
            <w:shd w:fill="CCEEFF" w:val="clear"/>
            <w:vAlign w:val="center"/>
          </w:tcPr>
          <w:p>
            <w:pPr>
              <w:pStyle w:val="TableContents"/>
              <w:bidi w:val="0"/>
              <w:spacing w:before="0" w:after="283"/>
              <w:ind w:left="0" w:right="0" w:hanging="180"/>
              <w:jc w:val="left"/>
              <w:rPr/>
            </w:pPr>
            <w:r>
              <w:rPr/>
              <w:t> </w:t>
            </w:r>
            <w:bookmarkStart w:id="113" w:name="xdx_409_eus-gaap--LoansPayableCurrent_i0"/>
            <w:bookmarkEnd w:id="113"/>
          </w:p>
        </w:tc>
      </w:tr>
      <w:tr>
        <w:trPr/>
        <w:tc>
          <w:tcPr>
            <w:tcW w:w="7430" w:type="dxa"/>
            <w:tcBorders/>
            <w:vAlign w:val="center"/>
          </w:tcPr>
          <w:p>
            <w:pPr>
              <w:pStyle w:val="TableContents"/>
              <w:bidi w:val="0"/>
              <w:spacing w:before="0" w:after="283"/>
              <w:jc w:val="left"/>
              <w:rPr>
                <w:sz w:val="20"/>
              </w:rPr>
            </w:pPr>
            <w:r>
              <w:rPr>
                <w:sz w:val="20"/>
              </w:rPr>
              <w:t>Current portion of term debt, related party</w:t>
            </w:r>
          </w:p>
        </w:tc>
        <w:tc>
          <w:tcPr>
            <w:tcW w:w="60" w:type="dxa"/>
            <w:tcBorders/>
            <w:vAlign w:val="center"/>
          </w:tcPr>
          <w:p>
            <w:pPr>
              <w:pStyle w:val="TableContents"/>
              <w:bidi w:val="0"/>
              <w:spacing w:before="0" w:after="283"/>
              <w:jc w:val="right"/>
              <w:rPr/>
            </w:pPr>
            <w:r>
              <w:rPr/>
              <w:t> </w:t>
            </w:r>
          </w:p>
        </w:tc>
        <w:tc>
          <w:tcPr>
            <w:tcW w:w="188" w:type="dxa"/>
            <w:tcBorders/>
            <w:vAlign w:val="center"/>
          </w:tcPr>
          <w:p>
            <w:pPr>
              <w:pStyle w:val="TableContents"/>
              <w:bidi w:val="0"/>
              <w:spacing w:before="0" w:after="283"/>
              <w:jc w:val="left"/>
              <w:rPr/>
            </w:pPr>
            <w:r>
              <w:rPr/>
              <w:t> </w:t>
            </w:r>
          </w:p>
        </w:tc>
        <w:tc>
          <w:tcPr>
            <w:tcW w:w="1054" w:type="dxa"/>
            <w:tcBorders/>
            <w:vAlign w:val="center"/>
          </w:tcPr>
          <w:p>
            <w:pPr>
              <w:pStyle w:val="TableContents"/>
              <w:bidi w:val="0"/>
              <w:spacing w:before="0" w:after="283"/>
              <w:jc w:val="right"/>
              <w:rPr/>
            </w:pPr>
            <w:r>
              <w:rPr/>
              <w:t>—</w:t>
            </w:r>
          </w:p>
        </w:tc>
        <w:tc>
          <w:tcPr>
            <w:tcW w:w="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right"/>
              <w:rPr/>
            </w:pPr>
            <w:r>
              <w:rPr/>
              <w:t> </w:t>
            </w:r>
          </w:p>
        </w:tc>
        <w:tc>
          <w:tcPr>
            <w:tcW w:w="176" w:type="dxa"/>
            <w:tcBorders/>
            <w:vAlign w:val="center"/>
          </w:tcPr>
          <w:p>
            <w:pPr>
              <w:pStyle w:val="TableContents"/>
              <w:bidi w:val="0"/>
              <w:spacing w:before="0" w:after="283"/>
              <w:jc w:val="left"/>
              <w:rPr/>
            </w:pPr>
            <w:r>
              <w:rPr/>
              <w:t> </w:t>
            </w:r>
          </w:p>
        </w:tc>
        <w:tc>
          <w:tcPr>
            <w:tcW w:w="1069" w:type="dxa"/>
            <w:tcBorders/>
            <w:vAlign w:val="center"/>
          </w:tcPr>
          <w:p>
            <w:pPr>
              <w:pStyle w:val="TableContents"/>
              <w:bidi w:val="0"/>
              <w:spacing w:before="0" w:after="283"/>
              <w:jc w:val="right"/>
              <w:rPr>
                <w:sz w:val="20"/>
              </w:rPr>
            </w:pPr>
            <w:r>
              <w:rPr>
                <w:sz w:val="20"/>
              </w:rPr>
              <w:t>1,000</w:t>
            </w:r>
          </w:p>
        </w:tc>
        <w:tc>
          <w:tcPr>
            <w:tcW w:w="88" w:type="dxa"/>
            <w:tcBorders/>
            <w:vAlign w:val="center"/>
          </w:tcPr>
          <w:p>
            <w:pPr>
              <w:pStyle w:val="TableContents"/>
              <w:bidi w:val="0"/>
              <w:spacing w:before="0" w:after="283"/>
              <w:ind w:left="0" w:right="0" w:hanging="180"/>
              <w:jc w:val="left"/>
              <w:rPr/>
            </w:pPr>
            <w:r>
              <w:rPr/>
              <w:t> </w:t>
            </w:r>
            <w:bookmarkStart w:id="114" w:name="xdx_400_eus-gaap--OperatingLeaseLiabilit"/>
            <w:bookmarkEnd w:id="114"/>
          </w:p>
        </w:tc>
      </w:tr>
      <w:tr>
        <w:trPr/>
        <w:tc>
          <w:tcPr>
            <w:tcW w:w="7430" w:type="dxa"/>
            <w:tcBorders/>
            <w:shd w:fill="CCEEFF" w:val="clear"/>
            <w:vAlign w:val="center"/>
          </w:tcPr>
          <w:p>
            <w:pPr>
              <w:pStyle w:val="TableContents"/>
              <w:bidi w:val="0"/>
              <w:spacing w:before="0" w:after="283"/>
              <w:jc w:val="left"/>
              <w:rPr>
                <w:sz w:val="20"/>
              </w:rPr>
            </w:pPr>
            <w:r>
              <w:rPr>
                <w:sz w:val="20"/>
              </w:rPr>
              <w:t>Current portion of operating lease obligations</w:t>
            </w:r>
          </w:p>
        </w:tc>
        <w:tc>
          <w:tcPr>
            <w:tcW w:w="60" w:type="dxa"/>
            <w:tcBorders/>
            <w:shd w:fill="CCEEFF" w:val="clear"/>
            <w:vAlign w:val="center"/>
          </w:tcPr>
          <w:p>
            <w:pPr>
              <w:pStyle w:val="TableContents"/>
              <w:bidi w:val="0"/>
              <w:spacing w:before="0" w:after="283"/>
              <w:jc w:val="right"/>
              <w:rPr/>
            </w:pPr>
            <w:r>
              <w:rPr/>
              <w:t> </w:t>
            </w:r>
          </w:p>
        </w:tc>
        <w:tc>
          <w:tcPr>
            <w:tcW w:w="188" w:type="dxa"/>
            <w:tcBorders/>
            <w:shd w:fill="CCEEFF" w:val="clear"/>
            <w:vAlign w:val="center"/>
          </w:tcPr>
          <w:p>
            <w:pPr>
              <w:pStyle w:val="TableContents"/>
              <w:bidi w:val="0"/>
              <w:spacing w:before="0" w:after="283"/>
              <w:jc w:val="left"/>
              <w:rPr/>
            </w:pPr>
            <w:r>
              <w:rPr/>
              <w:t> </w:t>
            </w:r>
          </w:p>
        </w:tc>
        <w:tc>
          <w:tcPr>
            <w:tcW w:w="1054" w:type="dxa"/>
            <w:tcBorders/>
            <w:shd w:fill="CCEEFF" w:val="clear"/>
            <w:vAlign w:val="center"/>
          </w:tcPr>
          <w:p>
            <w:pPr>
              <w:pStyle w:val="TableContents"/>
              <w:bidi w:val="0"/>
              <w:spacing w:before="0" w:after="283"/>
              <w:jc w:val="right"/>
              <w:rPr>
                <w:sz w:val="20"/>
              </w:rPr>
            </w:pPr>
            <w:r>
              <w:rPr>
                <w:sz w:val="20"/>
              </w:rPr>
              <w:t>1,255</w:t>
            </w:r>
          </w:p>
        </w:tc>
        <w:tc>
          <w:tcPr>
            <w:tcW w:w="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176" w:type="dxa"/>
            <w:tcBorders/>
            <w:shd w:fill="CCEEFF" w:val="clear"/>
            <w:vAlign w:val="center"/>
          </w:tcPr>
          <w:p>
            <w:pPr>
              <w:pStyle w:val="TableContents"/>
              <w:bidi w:val="0"/>
              <w:spacing w:before="0" w:after="283"/>
              <w:jc w:val="left"/>
              <w:rPr/>
            </w:pPr>
            <w:r>
              <w:rPr/>
              <w:t> </w:t>
            </w:r>
          </w:p>
        </w:tc>
        <w:tc>
          <w:tcPr>
            <w:tcW w:w="1069" w:type="dxa"/>
            <w:tcBorders/>
            <w:shd w:fill="CCEEFF" w:val="clear"/>
            <w:vAlign w:val="center"/>
          </w:tcPr>
          <w:p>
            <w:pPr>
              <w:pStyle w:val="TableContents"/>
              <w:bidi w:val="0"/>
              <w:spacing w:before="0" w:after="283"/>
              <w:jc w:val="right"/>
              <w:rPr>
                <w:sz w:val="20"/>
              </w:rPr>
            </w:pPr>
            <w:r>
              <w:rPr>
                <w:sz w:val="20"/>
              </w:rPr>
              <w:t>1,260</w:t>
            </w:r>
          </w:p>
        </w:tc>
        <w:tc>
          <w:tcPr>
            <w:tcW w:w="88" w:type="dxa"/>
            <w:tcBorders/>
            <w:shd w:fill="CCEEFF" w:val="clear"/>
            <w:vAlign w:val="center"/>
          </w:tcPr>
          <w:p>
            <w:pPr>
              <w:pStyle w:val="TableContents"/>
              <w:bidi w:val="0"/>
              <w:spacing w:before="0" w:after="283"/>
              <w:ind w:left="0" w:right="0" w:hanging="180"/>
              <w:jc w:val="left"/>
              <w:rPr/>
            </w:pPr>
            <w:r>
              <w:rPr/>
              <w:t> </w:t>
            </w:r>
            <w:bookmarkStart w:id="115" w:name="xdx_40D_eus-gaap--AccountsPayableCurrent"/>
            <w:bookmarkEnd w:id="115"/>
          </w:p>
        </w:tc>
      </w:tr>
      <w:tr>
        <w:trPr/>
        <w:tc>
          <w:tcPr>
            <w:tcW w:w="7430" w:type="dxa"/>
            <w:tcBorders/>
            <w:vAlign w:val="center"/>
          </w:tcPr>
          <w:p>
            <w:pPr>
              <w:pStyle w:val="TableContents"/>
              <w:bidi w:val="0"/>
              <w:spacing w:before="0" w:after="283"/>
              <w:jc w:val="left"/>
              <w:rPr>
                <w:sz w:val="20"/>
              </w:rPr>
            </w:pPr>
            <w:r>
              <w:rPr>
                <w:sz w:val="20"/>
              </w:rPr>
              <w:t>Accounts payable</w:t>
            </w:r>
          </w:p>
        </w:tc>
        <w:tc>
          <w:tcPr>
            <w:tcW w:w="60" w:type="dxa"/>
            <w:tcBorders/>
            <w:vAlign w:val="center"/>
          </w:tcPr>
          <w:p>
            <w:pPr>
              <w:pStyle w:val="TableContents"/>
              <w:bidi w:val="0"/>
              <w:spacing w:before="0" w:after="283"/>
              <w:jc w:val="right"/>
              <w:rPr/>
            </w:pPr>
            <w:r>
              <w:rPr/>
              <w:t> </w:t>
            </w:r>
          </w:p>
        </w:tc>
        <w:tc>
          <w:tcPr>
            <w:tcW w:w="188" w:type="dxa"/>
            <w:tcBorders/>
            <w:vAlign w:val="center"/>
          </w:tcPr>
          <w:p>
            <w:pPr>
              <w:pStyle w:val="TableContents"/>
              <w:bidi w:val="0"/>
              <w:spacing w:before="0" w:after="283"/>
              <w:jc w:val="left"/>
              <w:rPr/>
            </w:pPr>
            <w:r>
              <w:rPr/>
              <w:t> </w:t>
            </w:r>
          </w:p>
        </w:tc>
        <w:tc>
          <w:tcPr>
            <w:tcW w:w="1054" w:type="dxa"/>
            <w:tcBorders/>
            <w:vAlign w:val="center"/>
          </w:tcPr>
          <w:p>
            <w:pPr>
              <w:pStyle w:val="TableContents"/>
              <w:bidi w:val="0"/>
              <w:spacing w:before="0" w:after="283"/>
              <w:jc w:val="right"/>
              <w:rPr>
                <w:sz w:val="20"/>
              </w:rPr>
            </w:pPr>
            <w:r>
              <w:rPr>
                <w:sz w:val="20"/>
              </w:rPr>
              <w:t>4,098</w:t>
            </w:r>
          </w:p>
        </w:tc>
        <w:tc>
          <w:tcPr>
            <w:tcW w:w="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right"/>
              <w:rPr/>
            </w:pPr>
            <w:r>
              <w:rPr/>
              <w:t> </w:t>
            </w:r>
          </w:p>
        </w:tc>
        <w:tc>
          <w:tcPr>
            <w:tcW w:w="176" w:type="dxa"/>
            <w:tcBorders/>
            <w:vAlign w:val="center"/>
          </w:tcPr>
          <w:p>
            <w:pPr>
              <w:pStyle w:val="TableContents"/>
              <w:bidi w:val="0"/>
              <w:spacing w:before="0" w:after="283"/>
              <w:jc w:val="left"/>
              <w:rPr/>
            </w:pPr>
            <w:r>
              <w:rPr/>
              <w:t> </w:t>
            </w:r>
          </w:p>
        </w:tc>
        <w:tc>
          <w:tcPr>
            <w:tcW w:w="1069" w:type="dxa"/>
            <w:tcBorders/>
            <w:vAlign w:val="center"/>
          </w:tcPr>
          <w:p>
            <w:pPr>
              <w:pStyle w:val="TableContents"/>
              <w:bidi w:val="0"/>
              <w:spacing w:before="0" w:after="283"/>
              <w:jc w:val="right"/>
              <w:rPr>
                <w:sz w:val="20"/>
              </w:rPr>
            </w:pPr>
            <w:r>
              <w:rPr>
                <w:sz w:val="20"/>
              </w:rPr>
              <w:t>9,093</w:t>
            </w:r>
          </w:p>
        </w:tc>
        <w:tc>
          <w:tcPr>
            <w:tcW w:w="88" w:type="dxa"/>
            <w:tcBorders/>
            <w:vAlign w:val="center"/>
          </w:tcPr>
          <w:p>
            <w:pPr>
              <w:pStyle w:val="TableContents"/>
              <w:bidi w:val="0"/>
              <w:spacing w:before="0" w:after="283"/>
              <w:ind w:left="0" w:right="0" w:hanging="180"/>
              <w:jc w:val="left"/>
              <w:rPr/>
            </w:pPr>
            <w:r>
              <w:rPr/>
              <w:t> </w:t>
            </w:r>
            <w:bookmarkStart w:id="116" w:name="xdx_40A_eus-gaap--DeferredRevenueCurrent"/>
            <w:bookmarkEnd w:id="116"/>
          </w:p>
        </w:tc>
      </w:tr>
      <w:tr>
        <w:trPr/>
        <w:tc>
          <w:tcPr>
            <w:tcW w:w="7430" w:type="dxa"/>
            <w:tcBorders/>
            <w:shd w:fill="CCEEFF" w:val="clear"/>
            <w:vAlign w:val="center"/>
          </w:tcPr>
          <w:p>
            <w:pPr>
              <w:pStyle w:val="TableContents"/>
              <w:bidi w:val="0"/>
              <w:spacing w:before="0" w:after="283"/>
              <w:jc w:val="left"/>
              <w:rPr>
                <w:sz w:val="20"/>
              </w:rPr>
            </w:pPr>
            <w:r>
              <w:rPr>
                <w:sz w:val="20"/>
              </w:rPr>
              <w:t>Deferred revenue</w:t>
            </w:r>
          </w:p>
        </w:tc>
        <w:tc>
          <w:tcPr>
            <w:tcW w:w="60" w:type="dxa"/>
            <w:tcBorders/>
            <w:shd w:fill="CCEEFF" w:val="clear"/>
            <w:vAlign w:val="center"/>
          </w:tcPr>
          <w:p>
            <w:pPr>
              <w:pStyle w:val="TableContents"/>
              <w:bidi w:val="0"/>
              <w:spacing w:before="0" w:after="283"/>
              <w:jc w:val="right"/>
              <w:rPr/>
            </w:pPr>
            <w:r>
              <w:rPr/>
              <w:t> </w:t>
            </w:r>
          </w:p>
        </w:tc>
        <w:tc>
          <w:tcPr>
            <w:tcW w:w="188" w:type="dxa"/>
            <w:tcBorders/>
            <w:shd w:fill="CCEEFF" w:val="clear"/>
            <w:vAlign w:val="center"/>
          </w:tcPr>
          <w:p>
            <w:pPr>
              <w:pStyle w:val="TableContents"/>
              <w:bidi w:val="0"/>
              <w:spacing w:before="0" w:after="283"/>
              <w:jc w:val="left"/>
              <w:rPr/>
            </w:pPr>
            <w:r>
              <w:rPr/>
              <w:t> </w:t>
            </w:r>
          </w:p>
        </w:tc>
        <w:tc>
          <w:tcPr>
            <w:tcW w:w="1054" w:type="dxa"/>
            <w:tcBorders/>
            <w:shd w:fill="CCEEFF" w:val="clear"/>
            <w:vAlign w:val="center"/>
          </w:tcPr>
          <w:p>
            <w:pPr>
              <w:pStyle w:val="TableContents"/>
              <w:bidi w:val="0"/>
              <w:spacing w:before="0" w:after="283"/>
              <w:jc w:val="right"/>
              <w:rPr>
                <w:sz w:val="20"/>
              </w:rPr>
            </w:pPr>
            <w:r>
              <w:rPr>
                <w:sz w:val="20"/>
              </w:rPr>
              <w:t>930</w:t>
            </w:r>
          </w:p>
        </w:tc>
        <w:tc>
          <w:tcPr>
            <w:tcW w:w="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176" w:type="dxa"/>
            <w:tcBorders/>
            <w:shd w:fill="CCEEFF" w:val="clear"/>
            <w:vAlign w:val="center"/>
          </w:tcPr>
          <w:p>
            <w:pPr>
              <w:pStyle w:val="TableContents"/>
              <w:bidi w:val="0"/>
              <w:spacing w:before="0" w:after="283"/>
              <w:jc w:val="left"/>
              <w:rPr/>
            </w:pPr>
            <w:r>
              <w:rPr/>
              <w:t> </w:t>
            </w:r>
          </w:p>
        </w:tc>
        <w:tc>
          <w:tcPr>
            <w:tcW w:w="1069" w:type="dxa"/>
            <w:tcBorders/>
            <w:shd w:fill="CCEEFF" w:val="clear"/>
            <w:vAlign w:val="center"/>
          </w:tcPr>
          <w:p>
            <w:pPr>
              <w:pStyle w:val="TableContents"/>
              <w:bidi w:val="0"/>
              <w:spacing w:before="0" w:after="283"/>
              <w:jc w:val="right"/>
              <w:rPr>
                <w:sz w:val="20"/>
              </w:rPr>
            </w:pPr>
            <w:r>
              <w:rPr>
                <w:sz w:val="20"/>
              </w:rPr>
              <w:t>5,571</w:t>
            </w:r>
          </w:p>
        </w:tc>
        <w:tc>
          <w:tcPr>
            <w:tcW w:w="88" w:type="dxa"/>
            <w:tcBorders/>
            <w:shd w:fill="CCEEFF" w:val="clear"/>
            <w:vAlign w:val="center"/>
          </w:tcPr>
          <w:p>
            <w:pPr>
              <w:pStyle w:val="TableContents"/>
              <w:bidi w:val="0"/>
              <w:spacing w:before="0" w:after="283"/>
              <w:ind w:left="0" w:right="0" w:hanging="180"/>
              <w:jc w:val="left"/>
              <w:rPr/>
            </w:pPr>
            <w:r>
              <w:rPr/>
              <w:t> </w:t>
            </w:r>
            <w:bookmarkStart w:id="117" w:name="xdx_40E_eus-gaap--AccruedLiabilitiesCurr"/>
            <w:bookmarkEnd w:id="117"/>
          </w:p>
        </w:tc>
      </w:tr>
      <w:tr>
        <w:trPr/>
        <w:tc>
          <w:tcPr>
            <w:tcW w:w="7430" w:type="dxa"/>
            <w:tcBorders/>
            <w:vAlign w:val="center"/>
          </w:tcPr>
          <w:p>
            <w:pPr>
              <w:pStyle w:val="TableContents"/>
              <w:bidi w:val="0"/>
              <w:spacing w:before="0" w:after="283"/>
              <w:jc w:val="left"/>
              <w:rPr>
                <w:sz w:val="20"/>
              </w:rPr>
            </w:pPr>
            <w:r>
              <w:rPr>
                <w:sz w:val="20"/>
              </w:rPr>
              <w:t>Accrued expenses</w:t>
            </w:r>
          </w:p>
        </w:tc>
        <w:tc>
          <w:tcPr>
            <w:tcW w:w="60" w:type="dxa"/>
            <w:tcBorders/>
            <w:vAlign w:val="center"/>
          </w:tcPr>
          <w:p>
            <w:pPr>
              <w:pStyle w:val="TableContents"/>
              <w:bidi w:val="0"/>
              <w:spacing w:before="0" w:after="283"/>
              <w:jc w:val="right"/>
              <w:rPr/>
            </w:pPr>
            <w:r>
              <w:rPr/>
              <w:t> </w:t>
            </w:r>
          </w:p>
        </w:tc>
        <w:tc>
          <w:tcPr>
            <w:tcW w:w="188" w:type="dxa"/>
            <w:tcBorders>
              <w:bottom w:val="single" w:sz="8" w:space="0" w:color="000000"/>
            </w:tcBorders>
            <w:tcMar>
              <w:bottom w:w="28" w:type="dxa"/>
            </w:tcMar>
            <w:vAlign w:val="center"/>
          </w:tcPr>
          <w:p>
            <w:pPr>
              <w:pStyle w:val="TableContents"/>
              <w:bidi w:val="0"/>
              <w:spacing w:before="0" w:after="283"/>
              <w:jc w:val="left"/>
              <w:rPr/>
            </w:pPr>
            <w:r>
              <w:rPr/>
              <w:t> </w:t>
            </w:r>
          </w:p>
        </w:tc>
        <w:tc>
          <w:tcPr>
            <w:tcW w:w="1054" w:type="dxa"/>
            <w:tcBorders>
              <w:bottom w:val="single" w:sz="8" w:space="0" w:color="000000"/>
            </w:tcBorders>
            <w:tcMar>
              <w:bottom w:w="28" w:type="dxa"/>
            </w:tcMar>
            <w:vAlign w:val="center"/>
          </w:tcPr>
          <w:p>
            <w:pPr>
              <w:pStyle w:val="TableContents"/>
              <w:bidi w:val="0"/>
              <w:spacing w:before="0" w:after="283"/>
              <w:jc w:val="right"/>
              <w:rPr>
                <w:sz w:val="20"/>
              </w:rPr>
            </w:pPr>
            <w:r>
              <w:rPr>
                <w:sz w:val="20"/>
              </w:rPr>
              <w:t>2,879</w:t>
            </w:r>
          </w:p>
        </w:tc>
        <w:tc>
          <w:tcPr>
            <w:tcW w:w="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right"/>
              <w:rPr/>
            </w:pPr>
            <w:r>
              <w:rPr/>
              <w:t> </w:t>
            </w:r>
          </w:p>
        </w:tc>
        <w:tc>
          <w:tcPr>
            <w:tcW w:w="176" w:type="dxa"/>
            <w:tcBorders>
              <w:bottom w:val="single" w:sz="8" w:space="0" w:color="000000"/>
            </w:tcBorders>
            <w:tcMar>
              <w:bottom w:w="28" w:type="dxa"/>
            </w:tcMar>
            <w:vAlign w:val="center"/>
          </w:tcPr>
          <w:p>
            <w:pPr>
              <w:pStyle w:val="TableContents"/>
              <w:bidi w:val="0"/>
              <w:spacing w:before="0" w:after="283"/>
              <w:jc w:val="left"/>
              <w:rPr/>
            </w:pPr>
            <w:r>
              <w:rPr/>
              <w:t> </w:t>
            </w:r>
          </w:p>
        </w:tc>
        <w:tc>
          <w:tcPr>
            <w:tcW w:w="1069" w:type="dxa"/>
            <w:tcBorders>
              <w:bottom w:val="single" w:sz="8" w:space="0" w:color="000000"/>
            </w:tcBorders>
            <w:tcMar>
              <w:bottom w:w="28" w:type="dxa"/>
            </w:tcMar>
            <w:vAlign w:val="center"/>
          </w:tcPr>
          <w:p>
            <w:pPr>
              <w:pStyle w:val="TableContents"/>
              <w:bidi w:val="0"/>
              <w:spacing w:before="0" w:after="283"/>
              <w:jc w:val="right"/>
              <w:rPr>
                <w:sz w:val="20"/>
              </w:rPr>
            </w:pPr>
            <w:r>
              <w:rPr>
                <w:sz w:val="20"/>
              </w:rPr>
              <w:t>4,849</w:t>
            </w:r>
          </w:p>
        </w:tc>
        <w:tc>
          <w:tcPr>
            <w:tcW w:w="88" w:type="dxa"/>
            <w:tcBorders/>
            <w:vAlign w:val="center"/>
          </w:tcPr>
          <w:p>
            <w:pPr>
              <w:pStyle w:val="TableContents"/>
              <w:bidi w:val="0"/>
              <w:spacing w:before="0" w:after="283"/>
              <w:ind w:left="0" w:right="0" w:hanging="180"/>
              <w:jc w:val="left"/>
              <w:rPr/>
            </w:pPr>
            <w:r>
              <w:rPr/>
              <w:t> </w:t>
            </w:r>
            <w:bookmarkStart w:id="118" w:name="xdx_408_eus-gaap--LiabilitiesCurrent_i02"/>
            <w:bookmarkEnd w:id="118"/>
          </w:p>
        </w:tc>
      </w:tr>
      <w:tr>
        <w:trPr/>
        <w:tc>
          <w:tcPr>
            <w:tcW w:w="7430" w:type="dxa"/>
            <w:tcBorders/>
            <w:shd w:fill="CCEEFF" w:val="clear"/>
            <w:vAlign w:val="center"/>
          </w:tcPr>
          <w:p>
            <w:pPr>
              <w:pStyle w:val="TableContents"/>
              <w:bidi w:val="0"/>
              <w:spacing w:before="0" w:after="283"/>
              <w:jc w:val="left"/>
              <w:rPr>
                <w:sz w:val="20"/>
              </w:rPr>
            </w:pPr>
            <w:r>
              <w:rPr>
                <w:sz w:val="20"/>
              </w:rPr>
              <w:t>Total current liabilities</w:t>
            </w:r>
          </w:p>
        </w:tc>
        <w:tc>
          <w:tcPr>
            <w:tcW w:w="60" w:type="dxa"/>
            <w:tcBorders/>
            <w:shd w:fill="CCEEFF" w:val="clear"/>
            <w:vAlign w:val="center"/>
          </w:tcPr>
          <w:p>
            <w:pPr>
              <w:pStyle w:val="TableContents"/>
              <w:bidi w:val="0"/>
              <w:spacing w:before="0" w:after="283"/>
              <w:jc w:val="right"/>
              <w:rPr/>
            </w:pPr>
            <w:r>
              <w:rPr/>
              <w:t> </w:t>
            </w:r>
          </w:p>
        </w:tc>
        <w:tc>
          <w:tcPr>
            <w:tcW w:w="188" w:type="dxa"/>
            <w:tcBorders/>
            <w:shd w:fill="CCEEFF" w:val="clear"/>
            <w:vAlign w:val="center"/>
          </w:tcPr>
          <w:p>
            <w:pPr>
              <w:pStyle w:val="TableContents"/>
              <w:bidi w:val="0"/>
              <w:spacing w:before="0" w:after="283"/>
              <w:jc w:val="left"/>
              <w:rPr/>
            </w:pPr>
            <w:r>
              <w:rPr/>
              <w:t> </w:t>
            </w:r>
          </w:p>
        </w:tc>
        <w:tc>
          <w:tcPr>
            <w:tcW w:w="1054" w:type="dxa"/>
            <w:tcBorders/>
            <w:shd w:fill="CCEEFF" w:val="clear"/>
            <w:vAlign w:val="center"/>
          </w:tcPr>
          <w:p>
            <w:pPr>
              <w:pStyle w:val="TableContents"/>
              <w:bidi w:val="0"/>
              <w:spacing w:before="0" w:after="283"/>
              <w:jc w:val="right"/>
              <w:rPr>
                <w:sz w:val="20"/>
              </w:rPr>
            </w:pPr>
            <w:r>
              <w:rPr>
                <w:sz w:val="20"/>
              </w:rPr>
              <w:t>13,929</w:t>
            </w:r>
          </w:p>
        </w:tc>
        <w:tc>
          <w:tcPr>
            <w:tcW w:w="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176" w:type="dxa"/>
            <w:tcBorders/>
            <w:shd w:fill="CCEEFF" w:val="clear"/>
            <w:vAlign w:val="center"/>
          </w:tcPr>
          <w:p>
            <w:pPr>
              <w:pStyle w:val="TableContents"/>
              <w:bidi w:val="0"/>
              <w:spacing w:before="0" w:after="283"/>
              <w:jc w:val="left"/>
              <w:rPr/>
            </w:pPr>
            <w:r>
              <w:rPr/>
              <w:t> </w:t>
            </w:r>
          </w:p>
        </w:tc>
        <w:tc>
          <w:tcPr>
            <w:tcW w:w="1069" w:type="dxa"/>
            <w:tcBorders/>
            <w:shd w:fill="CCEEFF" w:val="clear"/>
            <w:vAlign w:val="center"/>
          </w:tcPr>
          <w:p>
            <w:pPr>
              <w:pStyle w:val="TableContents"/>
              <w:bidi w:val="0"/>
              <w:spacing w:before="0" w:after="283"/>
              <w:jc w:val="right"/>
              <w:rPr>
                <w:sz w:val="20"/>
              </w:rPr>
            </w:pPr>
            <w:r>
              <w:rPr>
                <w:sz w:val="20"/>
              </w:rPr>
              <w:t>25,773</w:t>
            </w:r>
          </w:p>
        </w:tc>
        <w:tc>
          <w:tcPr>
            <w:tcW w:w="88" w:type="dxa"/>
            <w:tcBorders/>
            <w:shd w:fill="CCEEFF" w:val="clear"/>
            <w:vAlign w:val="center"/>
          </w:tcPr>
          <w:p>
            <w:pPr>
              <w:pStyle w:val="TableContents"/>
              <w:bidi w:val="0"/>
              <w:spacing w:before="0" w:after="283"/>
              <w:ind w:left="0" w:right="0" w:hanging="180"/>
              <w:jc w:val="left"/>
              <w:rPr/>
            </w:pPr>
            <w:r>
              <w:rPr/>
              <w:t> </w:t>
            </w:r>
          </w:p>
        </w:tc>
      </w:tr>
      <w:tr>
        <w:trPr/>
        <w:tc>
          <w:tcPr>
            <w:tcW w:w="74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right"/>
              <w:rPr/>
            </w:pPr>
            <w:r>
              <w:rPr/>
              <w:t> </w:t>
            </w:r>
          </w:p>
        </w:tc>
        <w:tc>
          <w:tcPr>
            <w:tcW w:w="188" w:type="dxa"/>
            <w:tcBorders/>
            <w:vAlign w:val="center"/>
          </w:tcPr>
          <w:p>
            <w:pPr>
              <w:pStyle w:val="TableContents"/>
              <w:bidi w:val="0"/>
              <w:spacing w:before="0" w:after="283"/>
              <w:jc w:val="left"/>
              <w:rPr/>
            </w:pPr>
            <w:r>
              <w:rPr/>
              <w:t> </w:t>
            </w:r>
          </w:p>
        </w:tc>
        <w:tc>
          <w:tcPr>
            <w:tcW w:w="1054"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right"/>
              <w:rPr/>
            </w:pPr>
            <w:r>
              <w:rPr/>
              <w:t> </w:t>
            </w:r>
          </w:p>
        </w:tc>
        <w:tc>
          <w:tcPr>
            <w:tcW w:w="176" w:type="dxa"/>
            <w:tcBorders/>
            <w:vAlign w:val="center"/>
          </w:tcPr>
          <w:p>
            <w:pPr>
              <w:pStyle w:val="TableContents"/>
              <w:bidi w:val="0"/>
              <w:spacing w:before="0" w:after="283"/>
              <w:jc w:val="left"/>
              <w:rPr/>
            </w:pPr>
            <w:r>
              <w:rPr/>
              <w:t> </w:t>
            </w:r>
          </w:p>
        </w:tc>
        <w:tc>
          <w:tcPr>
            <w:tcW w:w="1069" w:type="dxa"/>
            <w:tcBorders/>
            <w:vAlign w:val="center"/>
          </w:tcPr>
          <w:p>
            <w:pPr>
              <w:pStyle w:val="TableContents"/>
              <w:bidi w:val="0"/>
              <w:spacing w:before="0" w:after="283"/>
              <w:jc w:val="right"/>
              <w:rPr/>
            </w:pPr>
            <w:r>
              <w:rPr/>
              <w:t> </w:t>
            </w:r>
          </w:p>
        </w:tc>
        <w:tc>
          <w:tcPr>
            <w:tcW w:w="88" w:type="dxa"/>
            <w:tcBorders/>
            <w:vAlign w:val="center"/>
          </w:tcPr>
          <w:p>
            <w:pPr>
              <w:pStyle w:val="TableContents"/>
              <w:bidi w:val="0"/>
              <w:spacing w:before="0" w:after="283"/>
              <w:ind w:left="0" w:right="0" w:hanging="180"/>
              <w:jc w:val="left"/>
              <w:rPr/>
            </w:pPr>
            <w:r>
              <w:rPr/>
              <w:t> </w:t>
            </w:r>
            <w:bookmarkStart w:id="119" w:name="xdx_406_eus-gaap--OperatingLeaseLiabilit"/>
            <w:bookmarkEnd w:id="119"/>
          </w:p>
        </w:tc>
      </w:tr>
      <w:tr>
        <w:trPr/>
        <w:tc>
          <w:tcPr>
            <w:tcW w:w="7430" w:type="dxa"/>
            <w:tcBorders/>
            <w:shd w:fill="CCEEFF" w:val="clear"/>
            <w:vAlign w:val="center"/>
          </w:tcPr>
          <w:p>
            <w:pPr>
              <w:pStyle w:val="TableContents"/>
              <w:bidi w:val="0"/>
              <w:spacing w:before="0" w:after="283"/>
              <w:jc w:val="left"/>
              <w:rPr>
                <w:sz w:val="20"/>
              </w:rPr>
            </w:pPr>
            <w:r>
              <w:rPr>
                <w:sz w:val="20"/>
              </w:rPr>
              <w:t>Long-term portion of operating lease obligations</w:t>
            </w:r>
          </w:p>
        </w:tc>
        <w:tc>
          <w:tcPr>
            <w:tcW w:w="60" w:type="dxa"/>
            <w:tcBorders/>
            <w:shd w:fill="CCEEFF" w:val="clear"/>
            <w:vAlign w:val="center"/>
          </w:tcPr>
          <w:p>
            <w:pPr>
              <w:pStyle w:val="TableContents"/>
              <w:bidi w:val="0"/>
              <w:spacing w:before="0" w:after="283"/>
              <w:jc w:val="right"/>
              <w:rPr/>
            </w:pPr>
            <w:r>
              <w:rPr/>
              <w:t> </w:t>
            </w:r>
          </w:p>
        </w:tc>
        <w:tc>
          <w:tcPr>
            <w:tcW w:w="188" w:type="dxa"/>
            <w:tcBorders/>
            <w:shd w:fill="CCEEFF" w:val="clear"/>
            <w:vAlign w:val="center"/>
          </w:tcPr>
          <w:p>
            <w:pPr>
              <w:pStyle w:val="TableContents"/>
              <w:bidi w:val="0"/>
              <w:spacing w:before="0" w:after="283"/>
              <w:jc w:val="left"/>
              <w:rPr/>
            </w:pPr>
            <w:r>
              <w:rPr/>
              <w:t> </w:t>
            </w:r>
          </w:p>
        </w:tc>
        <w:tc>
          <w:tcPr>
            <w:tcW w:w="1054" w:type="dxa"/>
            <w:tcBorders/>
            <w:shd w:fill="CCEEFF" w:val="clear"/>
            <w:vAlign w:val="center"/>
          </w:tcPr>
          <w:p>
            <w:pPr>
              <w:pStyle w:val="TableContents"/>
              <w:bidi w:val="0"/>
              <w:spacing w:before="0" w:after="283"/>
              <w:jc w:val="right"/>
              <w:rPr>
                <w:sz w:val="20"/>
              </w:rPr>
            </w:pPr>
            <w:r>
              <w:rPr>
                <w:sz w:val="20"/>
              </w:rPr>
              <w:t>7,798</w:t>
            </w:r>
          </w:p>
        </w:tc>
        <w:tc>
          <w:tcPr>
            <w:tcW w:w="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176" w:type="dxa"/>
            <w:tcBorders/>
            <w:shd w:fill="CCEEFF" w:val="clear"/>
            <w:vAlign w:val="center"/>
          </w:tcPr>
          <w:p>
            <w:pPr>
              <w:pStyle w:val="TableContents"/>
              <w:bidi w:val="0"/>
              <w:spacing w:before="0" w:after="283"/>
              <w:jc w:val="left"/>
              <w:rPr/>
            </w:pPr>
            <w:r>
              <w:rPr/>
              <w:t> </w:t>
            </w:r>
          </w:p>
        </w:tc>
        <w:tc>
          <w:tcPr>
            <w:tcW w:w="1069" w:type="dxa"/>
            <w:tcBorders/>
            <w:shd w:fill="CCEEFF" w:val="clear"/>
            <w:vAlign w:val="center"/>
          </w:tcPr>
          <w:p>
            <w:pPr>
              <w:pStyle w:val="TableContents"/>
              <w:bidi w:val="0"/>
              <w:spacing w:before="0" w:after="283"/>
              <w:jc w:val="right"/>
              <w:rPr>
                <w:sz w:val="20"/>
              </w:rPr>
            </w:pPr>
            <w:r>
              <w:rPr>
                <w:sz w:val="20"/>
              </w:rPr>
              <w:t>9,037</w:t>
            </w:r>
          </w:p>
        </w:tc>
        <w:tc>
          <w:tcPr>
            <w:tcW w:w="88" w:type="dxa"/>
            <w:tcBorders/>
            <w:shd w:fill="CCEEFF" w:val="clear"/>
            <w:vAlign w:val="center"/>
          </w:tcPr>
          <w:p>
            <w:pPr>
              <w:pStyle w:val="TableContents"/>
              <w:bidi w:val="0"/>
              <w:spacing w:before="0" w:after="283"/>
              <w:ind w:left="0" w:right="0" w:hanging="180"/>
              <w:jc w:val="left"/>
              <w:rPr/>
            </w:pPr>
            <w:r>
              <w:rPr/>
              <w:t> </w:t>
            </w:r>
            <w:bookmarkStart w:id="120" w:name="xdx_40C_eus-gaap--LongTermLineOfCredit_i"/>
            <w:bookmarkEnd w:id="120"/>
          </w:p>
        </w:tc>
      </w:tr>
      <w:tr>
        <w:trPr/>
        <w:tc>
          <w:tcPr>
            <w:tcW w:w="7430" w:type="dxa"/>
            <w:tcBorders/>
            <w:vAlign w:val="center"/>
          </w:tcPr>
          <w:p>
            <w:pPr>
              <w:pStyle w:val="TableContents"/>
              <w:bidi w:val="0"/>
              <w:spacing w:before="0" w:after="283"/>
              <w:jc w:val="left"/>
              <w:rPr>
                <w:sz w:val="20"/>
              </w:rPr>
            </w:pPr>
            <w:r>
              <w:rPr>
                <w:sz w:val="20"/>
              </w:rPr>
              <w:t>Long-term line of credit – inventory, related party</w:t>
            </w:r>
          </w:p>
        </w:tc>
        <w:tc>
          <w:tcPr>
            <w:tcW w:w="60" w:type="dxa"/>
            <w:tcBorders/>
            <w:vAlign w:val="center"/>
          </w:tcPr>
          <w:p>
            <w:pPr>
              <w:pStyle w:val="TableContents"/>
              <w:bidi w:val="0"/>
              <w:spacing w:before="0" w:after="283"/>
              <w:jc w:val="right"/>
              <w:rPr/>
            </w:pPr>
            <w:r>
              <w:rPr/>
              <w:t> </w:t>
            </w:r>
          </w:p>
        </w:tc>
        <w:tc>
          <w:tcPr>
            <w:tcW w:w="188" w:type="dxa"/>
            <w:tcBorders/>
            <w:vAlign w:val="center"/>
          </w:tcPr>
          <w:p>
            <w:pPr>
              <w:pStyle w:val="TableContents"/>
              <w:bidi w:val="0"/>
              <w:spacing w:before="0" w:after="283"/>
              <w:jc w:val="left"/>
              <w:rPr/>
            </w:pPr>
            <w:r>
              <w:rPr/>
              <w:t> </w:t>
            </w:r>
          </w:p>
        </w:tc>
        <w:tc>
          <w:tcPr>
            <w:tcW w:w="1054" w:type="dxa"/>
            <w:tcBorders/>
            <w:vAlign w:val="center"/>
          </w:tcPr>
          <w:p>
            <w:pPr>
              <w:pStyle w:val="TableContents"/>
              <w:bidi w:val="0"/>
              <w:spacing w:before="0" w:after="283"/>
              <w:jc w:val="right"/>
              <w:rPr>
                <w:sz w:val="20"/>
              </w:rPr>
            </w:pPr>
            <w:r>
              <w:rPr>
                <w:sz w:val="20"/>
              </w:rPr>
              <w:t>9,500</w:t>
            </w:r>
          </w:p>
        </w:tc>
        <w:tc>
          <w:tcPr>
            <w:tcW w:w="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right"/>
              <w:rPr/>
            </w:pPr>
            <w:r>
              <w:rPr/>
              <w:t> </w:t>
            </w:r>
          </w:p>
        </w:tc>
        <w:tc>
          <w:tcPr>
            <w:tcW w:w="176" w:type="dxa"/>
            <w:tcBorders/>
            <w:vAlign w:val="center"/>
          </w:tcPr>
          <w:p>
            <w:pPr>
              <w:pStyle w:val="TableContents"/>
              <w:bidi w:val="0"/>
              <w:spacing w:before="0" w:after="283"/>
              <w:jc w:val="left"/>
              <w:rPr/>
            </w:pPr>
            <w:r>
              <w:rPr/>
              <w:t> </w:t>
            </w:r>
          </w:p>
        </w:tc>
        <w:tc>
          <w:tcPr>
            <w:tcW w:w="1069" w:type="dxa"/>
            <w:tcBorders/>
            <w:vAlign w:val="center"/>
          </w:tcPr>
          <w:p>
            <w:pPr>
              <w:pStyle w:val="TableContents"/>
              <w:bidi w:val="0"/>
              <w:spacing w:before="0" w:after="283"/>
              <w:jc w:val="right"/>
              <w:rPr/>
            </w:pPr>
            <w:r>
              <w:rPr/>
              <w:t>—</w:t>
            </w:r>
          </w:p>
        </w:tc>
        <w:tc>
          <w:tcPr>
            <w:tcW w:w="88" w:type="dxa"/>
            <w:tcBorders/>
            <w:vAlign w:val="center"/>
          </w:tcPr>
          <w:p>
            <w:pPr>
              <w:pStyle w:val="TableContents"/>
              <w:bidi w:val="0"/>
              <w:spacing w:before="0" w:after="283"/>
              <w:ind w:left="0" w:right="0" w:hanging="180"/>
              <w:jc w:val="left"/>
              <w:rPr/>
            </w:pPr>
            <w:r>
              <w:rPr/>
              <w:t> </w:t>
            </w:r>
            <w:bookmarkStart w:id="121" w:name="xdx_40F_eus-gaap--OtherLongTermDebtNoncu"/>
            <w:bookmarkEnd w:id="121"/>
          </w:p>
        </w:tc>
      </w:tr>
      <w:tr>
        <w:trPr/>
        <w:tc>
          <w:tcPr>
            <w:tcW w:w="7430" w:type="dxa"/>
            <w:tcBorders/>
            <w:shd w:fill="CCEEFF" w:val="clear"/>
            <w:vAlign w:val="center"/>
          </w:tcPr>
          <w:p>
            <w:pPr>
              <w:pStyle w:val="TableContents"/>
              <w:bidi w:val="0"/>
              <w:spacing w:before="0" w:after="283"/>
              <w:jc w:val="left"/>
              <w:rPr>
                <w:sz w:val="20"/>
              </w:rPr>
            </w:pPr>
            <w:r>
              <w:rPr>
                <w:sz w:val="20"/>
              </w:rPr>
              <w:t>Long-term debt, related party</w:t>
            </w:r>
          </w:p>
        </w:tc>
        <w:tc>
          <w:tcPr>
            <w:tcW w:w="60" w:type="dxa"/>
            <w:tcBorders/>
            <w:shd w:fill="CCEEFF" w:val="clear"/>
            <w:vAlign w:val="center"/>
          </w:tcPr>
          <w:p>
            <w:pPr>
              <w:pStyle w:val="TableContents"/>
              <w:bidi w:val="0"/>
              <w:spacing w:before="0" w:after="283"/>
              <w:jc w:val="right"/>
              <w:rPr/>
            </w:pPr>
            <w:r>
              <w:rPr/>
              <w:t> </w:t>
            </w:r>
          </w:p>
        </w:tc>
        <w:tc>
          <w:tcPr>
            <w:tcW w:w="188" w:type="dxa"/>
            <w:tcBorders/>
            <w:shd w:fill="CCEEFF" w:val="clear"/>
            <w:vAlign w:val="center"/>
          </w:tcPr>
          <w:p>
            <w:pPr>
              <w:pStyle w:val="TableContents"/>
              <w:bidi w:val="0"/>
              <w:spacing w:before="0" w:after="283"/>
              <w:jc w:val="left"/>
              <w:rPr/>
            </w:pPr>
            <w:r>
              <w:rPr/>
              <w:t> </w:t>
            </w:r>
          </w:p>
        </w:tc>
        <w:tc>
          <w:tcPr>
            <w:tcW w:w="1054" w:type="dxa"/>
            <w:tcBorders/>
            <w:shd w:fill="CCEEFF" w:val="clear"/>
            <w:vAlign w:val="center"/>
          </w:tcPr>
          <w:p>
            <w:pPr>
              <w:pStyle w:val="TableContents"/>
              <w:bidi w:val="0"/>
              <w:spacing w:before="0" w:after="283"/>
              <w:jc w:val="right"/>
              <w:rPr>
                <w:sz w:val="20"/>
              </w:rPr>
            </w:pPr>
            <w:r>
              <w:rPr>
                <w:sz w:val="20"/>
              </w:rPr>
              <w:t>1,000</w:t>
            </w:r>
          </w:p>
        </w:tc>
        <w:tc>
          <w:tcPr>
            <w:tcW w:w="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176" w:type="dxa"/>
            <w:tcBorders/>
            <w:shd w:fill="CCEEFF" w:val="clear"/>
            <w:vAlign w:val="center"/>
          </w:tcPr>
          <w:p>
            <w:pPr>
              <w:pStyle w:val="TableContents"/>
              <w:bidi w:val="0"/>
              <w:spacing w:before="0" w:after="283"/>
              <w:jc w:val="left"/>
              <w:rPr/>
            </w:pPr>
            <w:r>
              <w:rPr/>
              <w:t> </w:t>
            </w:r>
          </w:p>
        </w:tc>
        <w:tc>
          <w:tcPr>
            <w:tcW w:w="1069" w:type="dxa"/>
            <w:tcBorders/>
            <w:shd w:fill="CCEEFF" w:val="clear"/>
            <w:vAlign w:val="center"/>
          </w:tcPr>
          <w:p>
            <w:pPr>
              <w:pStyle w:val="TableContents"/>
              <w:bidi w:val="0"/>
              <w:spacing w:before="0" w:after="283"/>
              <w:jc w:val="right"/>
              <w:rPr/>
            </w:pPr>
            <w:r>
              <w:rPr/>
              <w:t>—</w:t>
            </w:r>
          </w:p>
        </w:tc>
        <w:tc>
          <w:tcPr>
            <w:tcW w:w="88" w:type="dxa"/>
            <w:tcBorders/>
            <w:shd w:fill="CCEEFF" w:val="clear"/>
            <w:vAlign w:val="center"/>
          </w:tcPr>
          <w:p>
            <w:pPr>
              <w:pStyle w:val="TableContents"/>
              <w:bidi w:val="0"/>
              <w:spacing w:before="0" w:after="283"/>
              <w:ind w:left="0" w:right="0" w:hanging="180"/>
              <w:jc w:val="left"/>
              <w:rPr/>
            </w:pPr>
            <w:r>
              <w:rPr/>
              <w:t> </w:t>
            </w:r>
            <w:bookmarkStart w:id="122" w:name="xdx_401_eus-gaap--AssetRetirementObligat"/>
            <w:bookmarkEnd w:id="122"/>
          </w:p>
        </w:tc>
      </w:tr>
      <w:tr>
        <w:trPr/>
        <w:tc>
          <w:tcPr>
            <w:tcW w:w="7430" w:type="dxa"/>
            <w:tcBorders/>
            <w:vAlign w:val="center"/>
          </w:tcPr>
          <w:p>
            <w:pPr>
              <w:pStyle w:val="TableContents"/>
              <w:bidi w:val="0"/>
              <w:spacing w:before="0" w:after="283"/>
              <w:jc w:val="left"/>
              <w:rPr>
                <w:sz w:val="20"/>
              </w:rPr>
            </w:pPr>
            <w:r>
              <w:rPr>
                <w:sz w:val="20"/>
              </w:rPr>
              <w:t>Asset retirement obligations</w:t>
            </w:r>
          </w:p>
        </w:tc>
        <w:tc>
          <w:tcPr>
            <w:tcW w:w="60" w:type="dxa"/>
            <w:tcBorders/>
            <w:vAlign w:val="center"/>
          </w:tcPr>
          <w:p>
            <w:pPr>
              <w:pStyle w:val="TableContents"/>
              <w:bidi w:val="0"/>
              <w:spacing w:before="0" w:after="283"/>
              <w:jc w:val="right"/>
              <w:rPr/>
            </w:pPr>
            <w:r>
              <w:rPr/>
              <w:t> </w:t>
            </w:r>
          </w:p>
        </w:tc>
        <w:tc>
          <w:tcPr>
            <w:tcW w:w="188" w:type="dxa"/>
            <w:tcBorders/>
            <w:vAlign w:val="center"/>
          </w:tcPr>
          <w:p>
            <w:pPr>
              <w:pStyle w:val="TableContents"/>
              <w:bidi w:val="0"/>
              <w:spacing w:before="0" w:after="283"/>
              <w:jc w:val="left"/>
              <w:rPr/>
            </w:pPr>
            <w:r>
              <w:rPr/>
              <w:t> </w:t>
            </w:r>
          </w:p>
        </w:tc>
        <w:tc>
          <w:tcPr>
            <w:tcW w:w="1054" w:type="dxa"/>
            <w:tcBorders/>
            <w:vAlign w:val="center"/>
          </w:tcPr>
          <w:p>
            <w:pPr>
              <w:pStyle w:val="TableContents"/>
              <w:bidi w:val="0"/>
              <w:spacing w:before="0" w:after="283"/>
              <w:jc w:val="right"/>
              <w:rPr>
                <w:sz w:val="20"/>
              </w:rPr>
            </w:pPr>
            <w:r>
              <w:rPr>
                <w:sz w:val="20"/>
              </w:rPr>
              <w:t>194</w:t>
            </w:r>
          </w:p>
        </w:tc>
        <w:tc>
          <w:tcPr>
            <w:tcW w:w="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right"/>
              <w:rPr/>
            </w:pPr>
            <w:r>
              <w:rPr/>
              <w:t> </w:t>
            </w:r>
          </w:p>
        </w:tc>
        <w:tc>
          <w:tcPr>
            <w:tcW w:w="176" w:type="dxa"/>
            <w:tcBorders>
              <w:bottom w:val="single" w:sz="8" w:space="0" w:color="000000"/>
            </w:tcBorders>
            <w:tcMar>
              <w:bottom w:w="28" w:type="dxa"/>
            </w:tcMar>
            <w:vAlign w:val="center"/>
          </w:tcPr>
          <w:p>
            <w:pPr>
              <w:pStyle w:val="TableContents"/>
              <w:bidi w:val="0"/>
              <w:spacing w:before="0" w:after="283"/>
              <w:jc w:val="left"/>
              <w:rPr/>
            </w:pPr>
            <w:r>
              <w:rPr/>
              <w:t> </w:t>
            </w:r>
          </w:p>
        </w:tc>
        <w:tc>
          <w:tcPr>
            <w:tcW w:w="1069" w:type="dxa"/>
            <w:tcBorders>
              <w:bottom w:val="single" w:sz="8" w:space="0" w:color="000000"/>
            </w:tcBorders>
            <w:tcMar>
              <w:bottom w:w="28" w:type="dxa"/>
            </w:tcMar>
            <w:vAlign w:val="center"/>
          </w:tcPr>
          <w:p>
            <w:pPr>
              <w:pStyle w:val="TableContents"/>
              <w:bidi w:val="0"/>
              <w:spacing w:before="0" w:after="283"/>
              <w:jc w:val="right"/>
              <w:rPr>
                <w:sz w:val="20"/>
              </w:rPr>
            </w:pPr>
            <w:r>
              <w:rPr>
                <w:sz w:val="20"/>
              </w:rPr>
              <w:t>246</w:t>
            </w:r>
          </w:p>
        </w:tc>
        <w:tc>
          <w:tcPr>
            <w:tcW w:w="88" w:type="dxa"/>
            <w:tcBorders/>
            <w:vAlign w:val="center"/>
          </w:tcPr>
          <w:p>
            <w:pPr>
              <w:pStyle w:val="TableContents"/>
              <w:bidi w:val="0"/>
              <w:spacing w:before="0" w:after="283"/>
              <w:ind w:left="0" w:right="0" w:hanging="180"/>
              <w:jc w:val="left"/>
              <w:rPr/>
            </w:pPr>
            <w:r>
              <w:rPr/>
              <w:t> </w:t>
            </w:r>
            <w:bookmarkStart w:id="123" w:name="xdx_404_eus-gaap--LiabilitiesNoncurrent_"/>
            <w:bookmarkEnd w:id="123"/>
          </w:p>
        </w:tc>
      </w:tr>
      <w:tr>
        <w:trPr/>
        <w:tc>
          <w:tcPr>
            <w:tcW w:w="7430" w:type="dxa"/>
            <w:tcBorders/>
            <w:shd w:fill="CCEEFF" w:val="clear"/>
            <w:vAlign w:val="center"/>
          </w:tcPr>
          <w:p>
            <w:pPr>
              <w:pStyle w:val="TableContents"/>
              <w:bidi w:val="0"/>
              <w:spacing w:before="0" w:after="283"/>
              <w:jc w:val="left"/>
              <w:rPr/>
            </w:pPr>
            <w:r>
              <w:rPr/>
              <w:t> </w:t>
            </w:r>
            <w:r>
              <w:rPr>
                <w:sz w:val="20"/>
              </w:rPr>
              <w:t>Total long-term liabilities</w:t>
            </w:r>
          </w:p>
        </w:tc>
        <w:tc>
          <w:tcPr>
            <w:tcW w:w="60" w:type="dxa"/>
            <w:tcBorders/>
            <w:shd w:fill="CCEEFF" w:val="clear"/>
            <w:vAlign w:val="center"/>
          </w:tcPr>
          <w:p>
            <w:pPr>
              <w:pStyle w:val="TableContents"/>
              <w:bidi w:val="0"/>
              <w:spacing w:before="0" w:after="283"/>
              <w:jc w:val="right"/>
              <w:rPr/>
            </w:pPr>
            <w:r>
              <w:rPr/>
              <w:t> </w:t>
            </w:r>
          </w:p>
        </w:tc>
        <w:tc>
          <w:tcPr>
            <w:tcW w:w="188"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pPr>
            <w:r>
              <w:rPr/>
              <w:t> </w:t>
            </w:r>
          </w:p>
        </w:tc>
        <w:tc>
          <w:tcPr>
            <w:tcW w:w="1054"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right"/>
              <w:rPr>
                <w:sz w:val="20"/>
              </w:rPr>
            </w:pPr>
            <w:r>
              <w:rPr>
                <w:sz w:val="20"/>
              </w:rPr>
              <w:t>18,492</w:t>
            </w:r>
          </w:p>
        </w:tc>
        <w:tc>
          <w:tcPr>
            <w:tcW w:w="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17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69"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9,283</w:t>
            </w:r>
          </w:p>
        </w:tc>
        <w:tc>
          <w:tcPr>
            <w:tcW w:w="88" w:type="dxa"/>
            <w:tcBorders/>
            <w:shd w:fill="CCEEFF" w:val="clear"/>
            <w:vAlign w:val="center"/>
          </w:tcPr>
          <w:p>
            <w:pPr>
              <w:pStyle w:val="TableContents"/>
              <w:bidi w:val="0"/>
              <w:spacing w:before="0" w:after="283"/>
              <w:ind w:left="0" w:right="0" w:hanging="180"/>
              <w:jc w:val="left"/>
              <w:rPr/>
            </w:pPr>
            <w:r>
              <w:rPr/>
              <w:t> </w:t>
            </w:r>
          </w:p>
        </w:tc>
      </w:tr>
      <w:tr>
        <w:trPr/>
        <w:tc>
          <w:tcPr>
            <w:tcW w:w="74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right"/>
              <w:rPr/>
            </w:pPr>
            <w:r>
              <w:rPr/>
              <w:t> </w:t>
            </w:r>
          </w:p>
        </w:tc>
        <w:tc>
          <w:tcPr>
            <w:tcW w:w="188" w:type="dxa"/>
            <w:tcBorders/>
            <w:vAlign w:val="center"/>
          </w:tcPr>
          <w:p>
            <w:pPr>
              <w:pStyle w:val="TableContents"/>
              <w:bidi w:val="0"/>
              <w:spacing w:before="0" w:after="283"/>
              <w:jc w:val="left"/>
              <w:rPr/>
            </w:pPr>
            <w:r>
              <w:rPr/>
              <w:t> </w:t>
            </w:r>
          </w:p>
        </w:tc>
        <w:tc>
          <w:tcPr>
            <w:tcW w:w="1054"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right"/>
              <w:rPr/>
            </w:pPr>
            <w:r>
              <w:rPr/>
              <w:t> </w:t>
            </w:r>
          </w:p>
        </w:tc>
        <w:tc>
          <w:tcPr>
            <w:tcW w:w="176" w:type="dxa"/>
            <w:tcBorders/>
            <w:vAlign w:val="center"/>
          </w:tcPr>
          <w:p>
            <w:pPr>
              <w:pStyle w:val="TableContents"/>
              <w:bidi w:val="0"/>
              <w:spacing w:before="0" w:after="283"/>
              <w:jc w:val="left"/>
              <w:rPr/>
            </w:pPr>
            <w:r>
              <w:rPr/>
              <w:t> </w:t>
            </w:r>
          </w:p>
        </w:tc>
        <w:tc>
          <w:tcPr>
            <w:tcW w:w="1069" w:type="dxa"/>
            <w:tcBorders/>
            <w:vAlign w:val="center"/>
          </w:tcPr>
          <w:p>
            <w:pPr>
              <w:pStyle w:val="TableContents"/>
              <w:bidi w:val="0"/>
              <w:spacing w:before="0" w:after="283"/>
              <w:jc w:val="right"/>
              <w:rPr/>
            </w:pPr>
            <w:r>
              <w:rPr/>
              <w:t> </w:t>
            </w:r>
          </w:p>
        </w:tc>
        <w:tc>
          <w:tcPr>
            <w:tcW w:w="88" w:type="dxa"/>
            <w:tcBorders/>
            <w:vAlign w:val="center"/>
          </w:tcPr>
          <w:p>
            <w:pPr>
              <w:pStyle w:val="TableContents"/>
              <w:bidi w:val="0"/>
              <w:spacing w:before="0" w:after="283"/>
              <w:ind w:left="0" w:right="0" w:hanging="180"/>
              <w:jc w:val="left"/>
              <w:rPr/>
            </w:pPr>
            <w:r>
              <w:rPr/>
              <w:t> </w:t>
            </w:r>
            <w:bookmarkStart w:id="124" w:name="xdx_40A_eus-gaap--StockholdersEquityAbst"/>
            <w:bookmarkEnd w:id="124"/>
          </w:p>
        </w:tc>
      </w:tr>
      <w:tr>
        <w:trPr/>
        <w:tc>
          <w:tcPr>
            <w:tcW w:w="7430" w:type="dxa"/>
            <w:tcBorders/>
            <w:shd w:fill="CCEEFF" w:val="clear"/>
            <w:vAlign w:val="center"/>
          </w:tcPr>
          <w:p>
            <w:pPr>
              <w:pStyle w:val="TableContents"/>
              <w:bidi w:val="0"/>
              <w:spacing w:before="0" w:after="283"/>
              <w:jc w:val="left"/>
              <w:rPr>
                <w:b/>
                <w:sz w:val="20"/>
              </w:rPr>
            </w:pPr>
            <w:r>
              <w:rPr>
                <w:b/>
                <w:sz w:val="20"/>
              </w:rPr>
              <w:t>Stockholders’ equity:</w:t>
            </w:r>
          </w:p>
        </w:tc>
        <w:tc>
          <w:tcPr>
            <w:tcW w:w="60" w:type="dxa"/>
            <w:tcBorders/>
            <w:shd w:fill="CCEEFF" w:val="clear"/>
            <w:vAlign w:val="center"/>
          </w:tcPr>
          <w:p>
            <w:pPr>
              <w:pStyle w:val="TableContents"/>
              <w:bidi w:val="0"/>
              <w:spacing w:before="0" w:after="283"/>
              <w:jc w:val="right"/>
              <w:rPr/>
            </w:pPr>
            <w:r>
              <w:rPr/>
              <w:t> </w:t>
            </w:r>
          </w:p>
        </w:tc>
        <w:tc>
          <w:tcPr>
            <w:tcW w:w="188" w:type="dxa"/>
            <w:tcBorders/>
            <w:shd w:fill="CCEEFF" w:val="clear"/>
            <w:vAlign w:val="center"/>
          </w:tcPr>
          <w:p>
            <w:pPr>
              <w:pStyle w:val="TableContents"/>
              <w:bidi w:val="0"/>
              <w:spacing w:before="0" w:after="283"/>
              <w:jc w:val="left"/>
              <w:rPr/>
            </w:pPr>
            <w:r>
              <w:rPr/>
              <w:t> </w:t>
            </w:r>
          </w:p>
        </w:tc>
        <w:tc>
          <w:tcPr>
            <w:tcW w:w="105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176" w:type="dxa"/>
            <w:tcBorders/>
            <w:shd w:fill="CCEEFF" w:val="clear"/>
            <w:vAlign w:val="center"/>
          </w:tcPr>
          <w:p>
            <w:pPr>
              <w:pStyle w:val="TableContents"/>
              <w:bidi w:val="0"/>
              <w:spacing w:before="0" w:after="283"/>
              <w:jc w:val="left"/>
              <w:rPr/>
            </w:pPr>
            <w:r>
              <w:rPr/>
              <w:t> </w:t>
            </w:r>
          </w:p>
        </w:tc>
        <w:tc>
          <w:tcPr>
            <w:tcW w:w="1069" w:type="dxa"/>
            <w:tcBorders/>
            <w:shd w:fill="CCEEFF" w:val="clear"/>
            <w:vAlign w:val="center"/>
          </w:tcPr>
          <w:p>
            <w:pPr>
              <w:pStyle w:val="TableContents"/>
              <w:bidi w:val="0"/>
              <w:spacing w:before="0" w:after="283"/>
              <w:jc w:val="right"/>
              <w:rPr/>
            </w:pPr>
            <w:r>
              <w:rPr/>
              <w:t> </w:t>
            </w:r>
          </w:p>
        </w:tc>
        <w:tc>
          <w:tcPr>
            <w:tcW w:w="88" w:type="dxa"/>
            <w:tcBorders/>
            <w:shd w:fill="CCEEFF" w:val="clear"/>
            <w:vAlign w:val="center"/>
          </w:tcPr>
          <w:p>
            <w:pPr>
              <w:pStyle w:val="TableContents"/>
              <w:bidi w:val="0"/>
              <w:spacing w:before="0" w:after="283"/>
              <w:ind w:left="0" w:right="0" w:hanging="180"/>
              <w:jc w:val="left"/>
              <w:rPr/>
            </w:pPr>
            <w:r>
              <w:rPr/>
              <w:t> </w:t>
            </w:r>
            <w:bookmarkStart w:id="125" w:name="xdx_40D_eus-gaap--PreferredStockValue_i0"/>
            <w:bookmarkEnd w:id="125"/>
          </w:p>
        </w:tc>
      </w:tr>
      <w:tr>
        <w:trPr/>
        <w:tc>
          <w:tcPr>
            <w:tcW w:w="7430" w:type="dxa"/>
            <w:tcBorders/>
            <w:vAlign w:val="center"/>
          </w:tcPr>
          <w:p>
            <w:pPr>
              <w:pStyle w:val="TableContents"/>
              <w:bidi w:val="0"/>
              <w:spacing w:before="0" w:after="283"/>
              <w:jc w:val="left"/>
              <w:rPr>
                <w:sz w:val="20"/>
              </w:rPr>
            </w:pPr>
            <w:r>
              <w:rPr>
                <w:sz w:val="20"/>
              </w:rPr>
              <w:t>Preferred stock, $</w:t>
            </w:r>
            <w:bookmarkStart w:id="126" w:name="xdx_90D_eus-gaap--PreferredStockParOrSta"/>
            <w:bookmarkStart w:id="127" w:name="xdx_905_eus-gaap--PreferredStockParOrSta"/>
            <w:bookmarkEnd w:id="126"/>
            <w:bookmarkEnd w:id="127"/>
            <w:r>
              <w:rPr>
                <w:sz w:val="20"/>
              </w:rPr>
              <w:t xml:space="preserve">.01 par value, </w:t>
            </w:r>
            <w:bookmarkStart w:id="128" w:name="xdx_904_eus-gaap--PreferredStockSharesAu"/>
            <w:bookmarkStart w:id="129" w:name="xdx_90B_eus-gaap--PreferredStockSharesAu"/>
            <w:bookmarkEnd w:id="128"/>
            <w:bookmarkEnd w:id="129"/>
            <w:r>
              <w:rPr>
                <w:sz w:val="20"/>
              </w:rPr>
              <w:t xml:space="preserve">24,088 shares authorized, and </w:t>
            </w:r>
            <w:bookmarkStart w:id="130" w:name="xdx_906_eus-gaap--PreferredStockSharesOu"/>
            <w:bookmarkStart w:id="131" w:name="xdx_90B_eus-gaap--PreferredStockSharesIs"/>
            <w:bookmarkStart w:id="132" w:name="xdx_90B_eus-gaap--PreferredStockSharesOu"/>
            <w:bookmarkStart w:id="133" w:name="xdx_906_eus-gaap--PreferredStockSharesIs"/>
            <w:bookmarkEnd w:id="130"/>
            <w:bookmarkEnd w:id="131"/>
            <w:bookmarkEnd w:id="132"/>
            <w:bookmarkEnd w:id="133"/>
            <w:r>
              <w:rPr>
                <w:sz w:val="20"/>
              </w:rPr>
              <w:t>no shares issued and outstanding</w:t>
            </w:r>
          </w:p>
        </w:tc>
        <w:tc>
          <w:tcPr>
            <w:tcW w:w="60" w:type="dxa"/>
            <w:tcBorders/>
            <w:vAlign w:val="center"/>
          </w:tcPr>
          <w:p>
            <w:pPr>
              <w:pStyle w:val="TableContents"/>
              <w:bidi w:val="0"/>
              <w:spacing w:before="0" w:after="283"/>
              <w:jc w:val="right"/>
              <w:rPr/>
            </w:pPr>
            <w:r>
              <w:rPr/>
              <w:t> </w:t>
            </w:r>
          </w:p>
        </w:tc>
        <w:tc>
          <w:tcPr>
            <w:tcW w:w="188" w:type="dxa"/>
            <w:tcBorders/>
            <w:vAlign w:val="center"/>
          </w:tcPr>
          <w:p>
            <w:pPr>
              <w:pStyle w:val="TableContents"/>
              <w:bidi w:val="0"/>
              <w:spacing w:before="0" w:after="283"/>
              <w:jc w:val="left"/>
              <w:rPr/>
            </w:pPr>
            <w:r>
              <w:rPr/>
              <w:t> </w:t>
            </w:r>
          </w:p>
        </w:tc>
        <w:tc>
          <w:tcPr>
            <w:tcW w:w="1054" w:type="dxa"/>
            <w:tcBorders/>
            <w:vAlign w:val="center"/>
          </w:tcPr>
          <w:p>
            <w:pPr>
              <w:pStyle w:val="TableContents"/>
              <w:bidi w:val="0"/>
              <w:spacing w:before="0" w:after="283"/>
              <w:jc w:val="right"/>
              <w:rPr/>
            </w:pPr>
            <w:r>
              <w:rPr/>
              <w:t>—</w:t>
            </w:r>
          </w:p>
        </w:tc>
        <w:tc>
          <w:tcPr>
            <w:tcW w:w="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right"/>
              <w:rPr/>
            </w:pPr>
            <w:r>
              <w:rPr/>
              <w:t> </w:t>
            </w:r>
          </w:p>
        </w:tc>
        <w:tc>
          <w:tcPr>
            <w:tcW w:w="176" w:type="dxa"/>
            <w:tcBorders/>
            <w:vAlign w:val="center"/>
          </w:tcPr>
          <w:p>
            <w:pPr>
              <w:pStyle w:val="TableContents"/>
              <w:bidi w:val="0"/>
              <w:spacing w:before="0" w:after="283"/>
              <w:jc w:val="left"/>
              <w:rPr/>
            </w:pPr>
            <w:r>
              <w:rPr/>
              <w:t> </w:t>
            </w:r>
          </w:p>
        </w:tc>
        <w:tc>
          <w:tcPr>
            <w:tcW w:w="1069" w:type="dxa"/>
            <w:tcBorders/>
            <w:vAlign w:val="center"/>
          </w:tcPr>
          <w:p>
            <w:pPr>
              <w:pStyle w:val="TableContents"/>
              <w:bidi w:val="0"/>
              <w:spacing w:before="0" w:after="283"/>
              <w:jc w:val="right"/>
              <w:rPr/>
            </w:pPr>
            <w:r>
              <w:rPr/>
              <w:t>—</w:t>
            </w:r>
          </w:p>
        </w:tc>
        <w:tc>
          <w:tcPr>
            <w:tcW w:w="88" w:type="dxa"/>
            <w:tcBorders/>
            <w:vAlign w:val="center"/>
          </w:tcPr>
          <w:p>
            <w:pPr>
              <w:pStyle w:val="TableContents"/>
              <w:bidi w:val="0"/>
              <w:spacing w:before="0" w:after="283"/>
              <w:ind w:left="0" w:right="0" w:hanging="180"/>
              <w:jc w:val="left"/>
              <w:rPr/>
            </w:pPr>
            <w:r>
              <w:rPr/>
              <w:t> </w:t>
            </w:r>
            <w:bookmarkStart w:id="134" w:name="xdx_405_eus-gaap--CommonStockValue_i02I_"/>
            <w:bookmarkEnd w:id="134"/>
          </w:p>
        </w:tc>
      </w:tr>
      <w:tr>
        <w:trPr/>
        <w:tc>
          <w:tcPr>
            <w:tcW w:w="7430" w:type="dxa"/>
            <w:tcBorders/>
            <w:shd w:fill="CCEEFF" w:val="clear"/>
            <w:vAlign w:val="center"/>
          </w:tcPr>
          <w:p>
            <w:pPr>
              <w:pStyle w:val="TableContents"/>
              <w:bidi w:val="0"/>
              <w:spacing w:before="0" w:after="283"/>
              <w:jc w:val="left"/>
              <w:rPr>
                <w:sz w:val="20"/>
              </w:rPr>
            </w:pPr>
            <w:r>
              <w:rPr>
                <w:sz w:val="20"/>
              </w:rPr>
              <w:t>Common stock, $</w:t>
            </w:r>
            <w:bookmarkStart w:id="135" w:name="xdx_904_eus-gaap--CommonStockParOrStated"/>
            <w:bookmarkStart w:id="136" w:name="xdx_909_eus-gaap--CommonStockParOrStated"/>
            <w:bookmarkEnd w:id="135"/>
            <w:bookmarkEnd w:id="136"/>
            <w:r>
              <w:rPr>
                <w:sz w:val="20"/>
              </w:rPr>
              <w:t xml:space="preserve">.01 par value, </w:t>
            </w:r>
            <w:bookmarkStart w:id="137" w:name="xdx_907_eus-gaap--CommonStockSharesAutho"/>
            <w:bookmarkStart w:id="138" w:name="xdx_908_eus-gaap--CommonStockSharesAutho"/>
            <w:bookmarkEnd w:id="137"/>
            <w:bookmarkEnd w:id="138"/>
            <w:r>
              <w:rPr>
                <w:sz w:val="20"/>
              </w:rPr>
              <w:t xml:space="preserve">95,000,000 shares authorized; </w:t>
            </w:r>
            <w:bookmarkStart w:id="139" w:name="xdx_90F_eus-gaap--CommonStockSharesIssue"/>
            <w:bookmarkStart w:id="140" w:name="xdx_90E_eus-gaap--CommonStockSharesOutst"/>
            <w:bookmarkEnd w:id="139"/>
            <w:bookmarkEnd w:id="140"/>
            <w:r>
              <w:rPr>
                <w:sz w:val="20"/>
              </w:rPr>
              <w:t xml:space="preserve">70,614,045 and </w:t>
            </w:r>
            <w:bookmarkStart w:id="141" w:name="xdx_90F_eus-gaap--CommonStockSharesIssue"/>
            <w:bookmarkStart w:id="142" w:name="xdx_903_eus-gaap--CommonStockSharesOutst"/>
            <w:bookmarkEnd w:id="141"/>
            <w:bookmarkEnd w:id="142"/>
            <w:r>
              <w:rPr>
                <w:sz w:val="20"/>
              </w:rPr>
              <w:t>70,103,279 shares issued and outstanding on December 31, 2025 and 2024, respectively</w:t>
            </w:r>
          </w:p>
        </w:tc>
        <w:tc>
          <w:tcPr>
            <w:tcW w:w="60" w:type="dxa"/>
            <w:tcBorders/>
            <w:shd w:fill="CCEEFF" w:val="clear"/>
            <w:vAlign w:val="center"/>
          </w:tcPr>
          <w:p>
            <w:pPr>
              <w:pStyle w:val="TableContents"/>
              <w:bidi w:val="0"/>
              <w:spacing w:before="0" w:after="283"/>
              <w:jc w:val="right"/>
              <w:rPr/>
            </w:pPr>
            <w:r>
              <w:rPr/>
              <w:t> </w:t>
            </w:r>
          </w:p>
        </w:tc>
        <w:tc>
          <w:tcPr>
            <w:tcW w:w="188" w:type="dxa"/>
            <w:tcBorders/>
            <w:shd w:fill="CCEEFF" w:val="clear"/>
            <w:vAlign w:val="center"/>
          </w:tcPr>
          <w:p>
            <w:pPr>
              <w:pStyle w:val="TableContents"/>
              <w:bidi w:val="0"/>
              <w:spacing w:before="0" w:after="283"/>
              <w:jc w:val="left"/>
              <w:rPr/>
            </w:pPr>
            <w:r>
              <w:rPr/>
              <w:t> </w:t>
            </w:r>
          </w:p>
        </w:tc>
        <w:tc>
          <w:tcPr>
            <w:tcW w:w="1054" w:type="dxa"/>
            <w:tcBorders/>
            <w:shd w:fill="CCEEFF" w:val="clear"/>
            <w:vAlign w:val="center"/>
          </w:tcPr>
          <w:p>
            <w:pPr>
              <w:pStyle w:val="TableContents"/>
              <w:bidi w:val="0"/>
              <w:spacing w:before="0" w:after="283"/>
              <w:jc w:val="right"/>
              <w:rPr>
                <w:sz w:val="20"/>
              </w:rPr>
            </w:pPr>
            <w:r>
              <w:rPr>
                <w:sz w:val="20"/>
              </w:rPr>
              <w:t>706</w:t>
            </w:r>
          </w:p>
        </w:tc>
        <w:tc>
          <w:tcPr>
            <w:tcW w:w="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176" w:type="dxa"/>
            <w:tcBorders/>
            <w:shd w:fill="CCEEFF" w:val="clear"/>
            <w:vAlign w:val="center"/>
          </w:tcPr>
          <w:p>
            <w:pPr>
              <w:pStyle w:val="TableContents"/>
              <w:bidi w:val="0"/>
              <w:spacing w:before="0" w:after="283"/>
              <w:jc w:val="left"/>
              <w:rPr/>
            </w:pPr>
            <w:r>
              <w:rPr/>
              <w:t> </w:t>
            </w:r>
          </w:p>
        </w:tc>
        <w:tc>
          <w:tcPr>
            <w:tcW w:w="1069" w:type="dxa"/>
            <w:tcBorders/>
            <w:shd w:fill="CCEEFF" w:val="clear"/>
            <w:vAlign w:val="center"/>
          </w:tcPr>
          <w:p>
            <w:pPr>
              <w:pStyle w:val="TableContents"/>
              <w:bidi w:val="0"/>
              <w:spacing w:before="0" w:after="283"/>
              <w:jc w:val="right"/>
              <w:rPr>
                <w:sz w:val="20"/>
              </w:rPr>
            </w:pPr>
            <w:r>
              <w:rPr>
                <w:sz w:val="20"/>
              </w:rPr>
              <w:t>700</w:t>
            </w:r>
          </w:p>
        </w:tc>
        <w:tc>
          <w:tcPr>
            <w:tcW w:w="88" w:type="dxa"/>
            <w:tcBorders/>
            <w:shd w:fill="CCEEFF" w:val="clear"/>
            <w:vAlign w:val="center"/>
          </w:tcPr>
          <w:p>
            <w:pPr>
              <w:pStyle w:val="TableContents"/>
              <w:bidi w:val="0"/>
              <w:spacing w:before="0" w:after="283"/>
              <w:ind w:left="0" w:right="0" w:hanging="180"/>
              <w:jc w:val="left"/>
              <w:rPr/>
            </w:pPr>
            <w:r>
              <w:rPr/>
              <w:t> </w:t>
            </w:r>
            <w:bookmarkStart w:id="143" w:name="xdx_40C_eus-gaap--AdditionalPaidInCapita"/>
            <w:bookmarkEnd w:id="143"/>
          </w:p>
        </w:tc>
      </w:tr>
      <w:tr>
        <w:trPr/>
        <w:tc>
          <w:tcPr>
            <w:tcW w:w="7430" w:type="dxa"/>
            <w:tcBorders/>
            <w:vAlign w:val="center"/>
          </w:tcPr>
          <w:p>
            <w:pPr>
              <w:pStyle w:val="TableContents"/>
              <w:bidi w:val="0"/>
              <w:spacing w:before="0" w:after="283"/>
              <w:jc w:val="left"/>
              <w:rPr>
                <w:sz w:val="20"/>
              </w:rPr>
            </w:pPr>
            <w:r>
              <w:rPr>
                <w:sz w:val="20"/>
              </w:rPr>
              <w:t>Additional paid-in capital</w:t>
            </w:r>
          </w:p>
        </w:tc>
        <w:tc>
          <w:tcPr>
            <w:tcW w:w="60" w:type="dxa"/>
            <w:tcBorders/>
            <w:vAlign w:val="center"/>
          </w:tcPr>
          <w:p>
            <w:pPr>
              <w:pStyle w:val="TableContents"/>
              <w:bidi w:val="0"/>
              <w:spacing w:before="0" w:after="283"/>
              <w:jc w:val="right"/>
              <w:rPr/>
            </w:pPr>
            <w:r>
              <w:rPr/>
              <w:t> </w:t>
            </w:r>
          </w:p>
        </w:tc>
        <w:tc>
          <w:tcPr>
            <w:tcW w:w="188" w:type="dxa"/>
            <w:tcBorders/>
            <w:vAlign w:val="center"/>
          </w:tcPr>
          <w:p>
            <w:pPr>
              <w:pStyle w:val="TableContents"/>
              <w:bidi w:val="0"/>
              <w:spacing w:before="0" w:after="283"/>
              <w:jc w:val="left"/>
              <w:rPr/>
            </w:pPr>
            <w:r>
              <w:rPr/>
              <w:t> </w:t>
            </w:r>
          </w:p>
        </w:tc>
        <w:tc>
          <w:tcPr>
            <w:tcW w:w="1054" w:type="dxa"/>
            <w:tcBorders/>
            <w:vAlign w:val="center"/>
          </w:tcPr>
          <w:p>
            <w:pPr>
              <w:pStyle w:val="TableContents"/>
              <w:bidi w:val="0"/>
              <w:spacing w:before="0" w:after="283"/>
              <w:jc w:val="right"/>
              <w:rPr>
                <w:sz w:val="20"/>
              </w:rPr>
            </w:pPr>
            <w:r>
              <w:rPr>
                <w:sz w:val="20"/>
              </w:rPr>
              <w:t>115,566</w:t>
            </w:r>
          </w:p>
        </w:tc>
        <w:tc>
          <w:tcPr>
            <w:tcW w:w="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right"/>
              <w:rPr/>
            </w:pPr>
            <w:r>
              <w:rPr/>
              <w:t> </w:t>
            </w:r>
          </w:p>
        </w:tc>
        <w:tc>
          <w:tcPr>
            <w:tcW w:w="176" w:type="dxa"/>
            <w:tcBorders/>
            <w:vAlign w:val="center"/>
          </w:tcPr>
          <w:p>
            <w:pPr>
              <w:pStyle w:val="TableContents"/>
              <w:bidi w:val="0"/>
              <w:spacing w:before="0" w:after="283"/>
              <w:jc w:val="left"/>
              <w:rPr/>
            </w:pPr>
            <w:r>
              <w:rPr/>
              <w:t> </w:t>
            </w:r>
          </w:p>
        </w:tc>
        <w:tc>
          <w:tcPr>
            <w:tcW w:w="1069" w:type="dxa"/>
            <w:tcBorders/>
            <w:vAlign w:val="center"/>
          </w:tcPr>
          <w:p>
            <w:pPr>
              <w:pStyle w:val="TableContents"/>
              <w:bidi w:val="0"/>
              <w:spacing w:before="0" w:after="283"/>
              <w:jc w:val="right"/>
              <w:rPr>
                <w:sz w:val="20"/>
              </w:rPr>
            </w:pPr>
            <w:r>
              <w:rPr>
                <w:sz w:val="20"/>
              </w:rPr>
              <w:t>114,674</w:t>
            </w:r>
          </w:p>
        </w:tc>
        <w:tc>
          <w:tcPr>
            <w:tcW w:w="88" w:type="dxa"/>
            <w:tcBorders/>
            <w:vAlign w:val="center"/>
          </w:tcPr>
          <w:p>
            <w:pPr>
              <w:pStyle w:val="TableContents"/>
              <w:bidi w:val="0"/>
              <w:spacing w:before="0" w:after="283"/>
              <w:ind w:left="0" w:right="0" w:hanging="180"/>
              <w:jc w:val="left"/>
              <w:rPr/>
            </w:pPr>
            <w:r>
              <w:rPr/>
              <w:t> </w:t>
            </w:r>
            <w:bookmarkStart w:id="144" w:name="xdx_408_eus-gaap--RetainedEarningsAccumu"/>
            <w:bookmarkEnd w:id="144"/>
          </w:p>
        </w:tc>
      </w:tr>
      <w:tr>
        <w:trPr/>
        <w:tc>
          <w:tcPr>
            <w:tcW w:w="7430" w:type="dxa"/>
            <w:tcBorders/>
            <w:shd w:fill="CCEEFF" w:val="clear"/>
            <w:vAlign w:val="center"/>
          </w:tcPr>
          <w:p>
            <w:pPr>
              <w:pStyle w:val="TableContents"/>
              <w:bidi w:val="0"/>
              <w:spacing w:before="0" w:after="283"/>
              <w:jc w:val="left"/>
              <w:rPr>
                <w:sz w:val="20"/>
              </w:rPr>
            </w:pPr>
            <w:r>
              <w:rPr>
                <w:sz w:val="20"/>
              </w:rPr>
              <w:t>Accumulated deficit</w:t>
            </w:r>
          </w:p>
        </w:tc>
        <w:tc>
          <w:tcPr>
            <w:tcW w:w="60" w:type="dxa"/>
            <w:tcBorders/>
            <w:shd w:fill="CCEEFF" w:val="clear"/>
            <w:vAlign w:val="center"/>
          </w:tcPr>
          <w:p>
            <w:pPr>
              <w:pStyle w:val="TableContents"/>
              <w:bidi w:val="0"/>
              <w:spacing w:before="0" w:after="283"/>
              <w:jc w:val="right"/>
              <w:rPr/>
            </w:pPr>
            <w:r>
              <w:rPr/>
              <w:t> </w:t>
            </w:r>
          </w:p>
        </w:tc>
        <w:tc>
          <w:tcPr>
            <w:tcW w:w="18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4"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(98,638</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right"/>
              <w:rPr/>
            </w:pPr>
            <w:r>
              <w:rPr/>
              <w:t> </w:t>
            </w:r>
          </w:p>
        </w:tc>
        <w:tc>
          <w:tcPr>
            <w:tcW w:w="17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69"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(100,428</w:t>
            </w:r>
          </w:p>
        </w:tc>
        <w:tc>
          <w:tcPr>
            <w:tcW w:w="88" w:type="dxa"/>
            <w:tcBorders/>
            <w:shd w:fill="CCEEFF" w:val="clear"/>
            <w:vAlign w:val="center"/>
          </w:tcPr>
          <w:p>
            <w:pPr>
              <w:pStyle w:val="TableContents"/>
              <w:bidi w:val="0"/>
              <w:spacing w:before="0" w:after="283"/>
              <w:ind w:left="0" w:right="0" w:hanging="180"/>
              <w:jc w:val="left"/>
              <w:rPr>
                <w:sz w:val="20"/>
              </w:rPr>
            </w:pPr>
            <w:r>
              <w:rPr>
                <w:sz w:val="20"/>
              </w:rPr>
              <w:t>)</w:t>
            </w:r>
            <w:bookmarkStart w:id="145" w:name="xdx_406_eus-gaap--StockholdersEquity_i02"/>
            <w:bookmarkEnd w:id="145"/>
          </w:p>
        </w:tc>
      </w:tr>
      <w:tr>
        <w:trPr/>
        <w:tc>
          <w:tcPr>
            <w:tcW w:w="7430" w:type="dxa"/>
            <w:tcBorders/>
            <w:vAlign w:val="center"/>
          </w:tcPr>
          <w:p>
            <w:pPr>
              <w:pStyle w:val="TableContents"/>
              <w:bidi w:val="0"/>
              <w:spacing w:before="0" w:after="283"/>
              <w:jc w:val="left"/>
              <w:rPr>
                <w:sz w:val="20"/>
              </w:rPr>
            </w:pPr>
            <w:r>
              <w:rPr>
                <w:sz w:val="20"/>
              </w:rPr>
              <w:t>Total stockholders’ equity</w:t>
            </w:r>
          </w:p>
        </w:tc>
        <w:tc>
          <w:tcPr>
            <w:tcW w:w="60" w:type="dxa"/>
            <w:tcBorders/>
            <w:vAlign w:val="center"/>
          </w:tcPr>
          <w:p>
            <w:pPr>
              <w:pStyle w:val="TableContents"/>
              <w:bidi w:val="0"/>
              <w:spacing w:before="0" w:after="283"/>
              <w:jc w:val="right"/>
              <w:rPr/>
            </w:pPr>
            <w:r>
              <w:rPr/>
              <w:t> </w:t>
            </w:r>
          </w:p>
        </w:tc>
        <w:tc>
          <w:tcPr>
            <w:tcW w:w="188" w:type="dxa"/>
            <w:tcBorders>
              <w:bottom w:val="single" w:sz="8" w:space="0" w:color="000000"/>
            </w:tcBorders>
            <w:tcMar>
              <w:bottom w:w="28" w:type="dxa"/>
            </w:tcMar>
            <w:vAlign w:val="center"/>
          </w:tcPr>
          <w:p>
            <w:pPr>
              <w:pStyle w:val="TableContents"/>
              <w:bidi w:val="0"/>
              <w:spacing w:before="0" w:after="283"/>
              <w:jc w:val="left"/>
              <w:rPr/>
            </w:pPr>
            <w:r>
              <w:rPr/>
              <w:t> </w:t>
            </w:r>
          </w:p>
        </w:tc>
        <w:tc>
          <w:tcPr>
            <w:tcW w:w="1054" w:type="dxa"/>
            <w:tcBorders>
              <w:bottom w:val="single" w:sz="8" w:space="0" w:color="000000"/>
            </w:tcBorders>
            <w:tcMar>
              <w:bottom w:w="28" w:type="dxa"/>
            </w:tcMar>
            <w:vAlign w:val="center"/>
          </w:tcPr>
          <w:p>
            <w:pPr>
              <w:pStyle w:val="TableContents"/>
              <w:bidi w:val="0"/>
              <w:spacing w:before="0" w:after="283"/>
              <w:jc w:val="right"/>
              <w:rPr>
                <w:sz w:val="20"/>
              </w:rPr>
            </w:pPr>
            <w:r>
              <w:rPr>
                <w:sz w:val="20"/>
              </w:rPr>
              <w:t>17,634</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right"/>
              <w:rPr/>
            </w:pPr>
            <w:r>
              <w:rPr/>
              <w:t> </w:t>
            </w:r>
          </w:p>
        </w:tc>
        <w:tc>
          <w:tcPr>
            <w:tcW w:w="176" w:type="dxa"/>
            <w:tcBorders>
              <w:bottom w:val="single" w:sz="8" w:space="0" w:color="000000"/>
            </w:tcBorders>
            <w:tcMar>
              <w:bottom w:w="28" w:type="dxa"/>
            </w:tcMar>
            <w:vAlign w:val="center"/>
          </w:tcPr>
          <w:p>
            <w:pPr>
              <w:pStyle w:val="TableContents"/>
              <w:bidi w:val="0"/>
              <w:spacing w:before="0" w:after="283"/>
              <w:jc w:val="left"/>
              <w:rPr/>
            </w:pPr>
            <w:r>
              <w:rPr/>
              <w:t> </w:t>
            </w:r>
          </w:p>
        </w:tc>
        <w:tc>
          <w:tcPr>
            <w:tcW w:w="1069" w:type="dxa"/>
            <w:tcBorders>
              <w:bottom w:val="single" w:sz="8" w:space="0" w:color="000000"/>
            </w:tcBorders>
            <w:tcMar>
              <w:bottom w:w="28" w:type="dxa"/>
            </w:tcMar>
            <w:vAlign w:val="center"/>
          </w:tcPr>
          <w:p>
            <w:pPr>
              <w:pStyle w:val="TableContents"/>
              <w:bidi w:val="0"/>
              <w:spacing w:before="0" w:after="283"/>
              <w:jc w:val="right"/>
              <w:rPr>
                <w:sz w:val="20"/>
              </w:rPr>
            </w:pPr>
            <w:r>
              <w:rPr>
                <w:sz w:val="20"/>
              </w:rPr>
              <w:t>14,946</w:t>
            </w:r>
          </w:p>
        </w:tc>
        <w:tc>
          <w:tcPr>
            <w:tcW w:w="88" w:type="dxa"/>
            <w:tcBorders/>
            <w:vAlign w:val="center"/>
          </w:tcPr>
          <w:p>
            <w:pPr>
              <w:pStyle w:val="TableContents"/>
              <w:bidi w:val="0"/>
              <w:spacing w:before="0" w:after="283"/>
              <w:ind w:left="0" w:right="0" w:hanging="180"/>
              <w:jc w:val="left"/>
              <w:rPr/>
            </w:pPr>
            <w:r>
              <w:rPr/>
              <w:t> </w:t>
            </w:r>
            <w:bookmarkStart w:id="146" w:name="xdx_408_eus-gaap--LiabilitiesAndStockhol"/>
            <w:bookmarkEnd w:id="146"/>
          </w:p>
        </w:tc>
      </w:tr>
      <w:tr>
        <w:trPr/>
        <w:tc>
          <w:tcPr>
            <w:tcW w:w="7430" w:type="dxa"/>
            <w:tcBorders/>
            <w:shd w:fill="CCEEFF" w:val="clear"/>
            <w:vAlign w:val="center"/>
          </w:tcPr>
          <w:p>
            <w:pPr>
              <w:pStyle w:val="TableContents"/>
              <w:bidi w:val="0"/>
              <w:spacing w:before="0" w:after="283"/>
              <w:jc w:val="left"/>
              <w:rPr/>
            </w:pPr>
            <w:r>
              <w:rPr/>
              <w:t> </w:t>
            </w:r>
            <w:r>
              <w:rPr>
                <w:b/>
                <w:sz w:val="20"/>
              </w:rPr>
              <w:t>Total liabilities and stockholders’ equity</w:t>
            </w:r>
          </w:p>
        </w:tc>
        <w:tc>
          <w:tcPr>
            <w:tcW w:w="60" w:type="dxa"/>
            <w:tcBorders/>
            <w:shd w:fill="CCEEFF" w:val="clear"/>
            <w:vAlign w:val="center"/>
          </w:tcPr>
          <w:p>
            <w:pPr>
              <w:pStyle w:val="TableContents"/>
              <w:bidi w:val="0"/>
              <w:spacing w:before="0" w:after="283"/>
              <w:jc w:val="right"/>
              <w:rPr/>
            </w:pPr>
            <w:r>
              <w:rPr/>
              <w:t> </w:t>
            </w:r>
          </w:p>
        </w:tc>
        <w:tc>
          <w:tcPr>
            <w:tcW w:w="188"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105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50,055 </w:t>
            </w:r>
          </w:p>
        </w:tc>
        <w:tc>
          <w:tcPr>
            <w:tcW w:w="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1069"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50,002</w:t>
            </w:r>
          </w:p>
        </w:tc>
        <w:tc>
          <w:tcPr>
            <w:tcW w:w="88"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43" w:right="43" w:hanging="0"/>
        <w:jc w:val="center"/>
        <w:rPr>
          <w:caps w:val="false"/>
          <w:smallCaps w:val="false"/>
        </w:rPr>
      </w:pPr>
      <w:r>
        <w:rPr>
          <w:caps w:val="false"/>
          <w:smallCaps w:val="false"/>
        </w:rPr>
        <w:t> </w:t>
      </w:r>
    </w:p>
    <w:p>
      <w:pPr>
        <w:pStyle w:val="TextBody"/>
        <w:bidi w:val="0"/>
        <w:spacing w:before="0" w:after="0"/>
        <w:ind w:left="43" w:right="43"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(See accompanying Notes to Consolidated Financial Statements)</w:t>
      </w:r>
    </w:p>
    <w:p>
      <w:pPr>
        <w:pStyle w:val="TextBody"/>
        <w:bidi w:val="0"/>
        <w:spacing w:before="0" w:after="0"/>
        <w:ind w:left="43" w:right="43"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F-4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SOLÉSENCE, INC.</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47" w:name="solesence10kb003"/>
      <w:bookmarkEnd w:id="147"/>
      <w:r>
        <w:rPr>
          <w:rFonts w:ascii="Times New Roman;Times;Serif" w:hAnsi="Times New Roman;Times;Serif"/>
          <w:b/>
          <w:i w:val="false"/>
          <w:caps w:val="false"/>
          <w:smallCaps w:val="false"/>
          <w:sz w:val="20"/>
        </w:rPr>
        <w:t>CONSOLIDATED STATEMENTS OF OPERATIONS</w:t>
      </w:r>
    </w:p>
    <w:p>
      <w:pPr>
        <w:pStyle w:val="Normal"/>
        <w:bidi w:val="0"/>
        <w:spacing w:before="0" w:after="0"/>
        <w:ind w:left="0" w:right="0" w:hanging="0"/>
        <w:jc w:val="left"/>
        <w:rPr>
          <w:sz w:val="4"/>
          <w:szCs w:val="4"/>
        </w:rPr>
      </w:pPr>
      <w:r>
        <w:rPr>
          <w:sz w:val="4"/>
          <w:szCs w:val="4"/>
        </w:rPr>
      </w:r>
      <w:bookmarkStart w:id="148" w:name="xdx_30E_113_pn3n3_z9dV481i2Jsb"/>
      <w:bookmarkStart w:id="149" w:name="xdx_30E_113_pn3n3_z9dV481i2Jsb"/>
      <w:bookmarkEnd w:id="149"/>
    </w:p>
    <w:tbl>
      <w:tblPr>
        <w:tblW w:w="9306" w:type="dxa"/>
        <w:jc w:val="left"/>
        <w:tblInd w:w="0" w:type="dxa"/>
        <w:tblLayout w:type="fixed"/>
        <w:tblCellMar>
          <w:top w:w="0" w:type="dxa"/>
          <w:left w:w="0" w:type="dxa"/>
          <w:bottom w:w="0" w:type="dxa"/>
          <w:right w:w="0" w:type="dxa"/>
        </w:tblCellMar>
      </w:tblPr>
      <w:tblGrid>
        <w:gridCol w:w="5315"/>
        <w:gridCol w:w="60"/>
        <w:gridCol w:w="209"/>
        <w:gridCol w:w="1594"/>
        <w:gridCol w:w="100"/>
        <w:gridCol w:w="100"/>
        <w:gridCol w:w="209"/>
        <w:gridCol w:w="1594"/>
        <w:gridCol w:w="125"/>
      </w:tblGrid>
      <w:tr>
        <w:trPr/>
        <w:tc>
          <w:tcPr>
            <w:tcW w:w="53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9" w:type="dxa"/>
            <w:tcBorders>
              <w:bottom w:val="single" w:sz="8" w:space="0" w:color="000000"/>
            </w:tcBorders>
            <w:tcMar>
              <w:bottom w:w="28" w:type="dxa"/>
            </w:tcMar>
            <w:vAlign w:val="center"/>
          </w:tcPr>
          <w:p>
            <w:pPr>
              <w:pStyle w:val="TableContents"/>
              <w:bidi w:val="0"/>
              <w:spacing w:before="0" w:after="283"/>
              <w:jc w:val="left"/>
              <w:rPr/>
            </w:pPr>
            <w:r>
              <w:rPr/>
              <w:t> </w:t>
            </w:r>
            <w:bookmarkStart w:id="150" w:name="xdx_499_20250101__20251231_znzWeYPidU57"/>
            <w:bookmarkEnd w:id="150"/>
          </w:p>
        </w:tc>
        <w:tc>
          <w:tcPr>
            <w:tcW w:w="1594" w:type="dxa"/>
            <w:tcBorders>
              <w:bottom w:val="single" w:sz="8" w:space="0" w:color="000000"/>
            </w:tcBorders>
            <w:tcMar>
              <w:bottom w:w="28" w:type="dxa"/>
            </w:tcMar>
            <w:vAlign w:val="center"/>
          </w:tcPr>
          <w:p>
            <w:pPr>
              <w:pStyle w:val="TableContents"/>
              <w:bidi w:val="0"/>
              <w:spacing w:before="0" w:after="283"/>
              <w:jc w:val="right"/>
              <w:rPr/>
            </w:pPr>
            <w:r>
              <w:rPr/>
              <w:t> </w:t>
            </w:r>
          </w:p>
        </w:tc>
        <w:tc>
          <w:tcPr>
            <w:tcW w:w="100" w:type="dxa"/>
            <w:tcBorders>
              <w:bottom w:val="single" w:sz="8" w:space="0" w:color="000000"/>
            </w:tcBorders>
            <w:tcMar>
              <w:bottom w:w="28" w:type="dxa"/>
            </w:tcMar>
            <w:vAlign w:val="center"/>
          </w:tcPr>
          <w:p>
            <w:pPr>
              <w:pStyle w:val="TableContents"/>
              <w:bidi w:val="0"/>
              <w:spacing w:before="0" w:after="283"/>
              <w:jc w:val="left"/>
              <w:rPr/>
            </w:pPr>
            <w:r>
              <w:rPr/>
              <w:t> </w:t>
            </w:r>
          </w:p>
        </w:tc>
        <w:tc>
          <w:tcPr>
            <w:tcW w:w="100" w:type="dxa"/>
            <w:tcBorders>
              <w:bottom w:val="single" w:sz="8" w:space="0" w:color="000000"/>
            </w:tcBorders>
            <w:tcMar>
              <w:bottom w:w="28" w:type="dxa"/>
            </w:tcMar>
            <w:vAlign w:val="center"/>
          </w:tcPr>
          <w:p>
            <w:pPr>
              <w:pStyle w:val="TableContents"/>
              <w:bidi w:val="0"/>
              <w:spacing w:before="0" w:after="283"/>
              <w:jc w:val="left"/>
              <w:rPr/>
            </w:pPr>
            <w:r>
              <w:rPr/>
              <w:t> </w:t>
            </w:r>
          </w:p>
        </w:tc>
        <w:tc>
          <w:tcPr>
            <w:tcW w:w="209" w:type="dxa"/>
            <w:tcBorders>
              <w:bottom w:val="single" w:sz="8" w:space="0" w:color="000000"/>
            </w:tcBorders>
            <w:tcMar>
              <w:bottom w:w="28" w:type="dxa"/>
            </w:tcMar>
            <w:vAlign w:val="center"/>
          </w:tcPr>
          <w:p>
            <w:pPr>
              <w:pStyle w:val="TableContents"/>
              <w:bidi w:val="0"/>
              <w:spacing w:before="0" w:after="283"/>
              <w:jc w:val="left"/>
              <w:rPr/>
            </w:pPr>
            <w:r>
              <w:rPr/>
              <w:t> </w:t>
            </w:r>
            <w:bookmarkStart w:id="151" w:name="xdx_49B_20240101__20241231_zYNqGdiRL66a"/>
            <w:bookmarkEnd w:id="151"/>
          </w:p>
        </w:tc>
        <w:tc>
          <w:tcPr>
            <w:tcW w:w="1594" w:type="dxa"/>
            <w:tcBorders>
              <w:bottom w:val="single" w:sz="8" w:space="0" w:color="000000"/>
            </w:tcBorders>
            <w:tcMar>
              <w:bottom w:w="28" w:type="dxa"/>
            </w:tcMar>
            <w:vAlign w:val="center"/>
          </w:tcPr>
          <w:p>
            <w:pPr>
              <w:pStyle w:val="TableContents"/>
              <w:bidi w:val="0"/>
              <w:spacing w:before="0" w:after="283"/>
              <w:jc w:val="right"/>
              <w:rPr/>
            </w:pPr>
            <w:r>
              <w:rPr/>
              <w:t> </w:t>
            </w:r>
          </w:p>
        </w:tc>
        <w:tc>
          <w:tcPr>
            <w:tcW w:w="12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53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31" w:type="dxa"/>
            <w:gridSpan w:val="7"/>
            <w:tcBorders>
              <w:bottom w:val="single" w:sz="8" w:space="0" w:color="000000"/>
            </w:tcBorders>
            <w:tcMar>
              <w:bottom w:w="28" w:type="dxa"/>
            </w:tcMar>
            <w:vAlign w:val="center"/>
          </w:tcPr>
          <w:p>
            <w:pPr>
              <w:pStyle w:val="TableContents"/>
              <w:bidi w:val="0"/>
              <w:spacing w:before="0" w:after="283"/>
              <w:jc w:val="center"/>
              <w:rPr>
                <w:b/>
                <w:sz w:val="20"/>
              </w:rPr>
            </w:pPr>
            <w:r>
              <w:rPr>
                <w:b/>
                <w:sz w:val="20"/>
              </w:rPr>
              <w:t>Years ended December 31,</w:t>
            </w:r>
          </w:p>
        </w:tc>
      </w:tr>
      <w:tr>
        <w:trPr/>
        <w:tc>
          <w:tcPr>
            <w:tcW w:w="53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03"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100" w:type="dxa"/>
            <w:tcBorders>
              <w:bottom w:val="single" w:sz="8" w:space="0" w:color="000000"/>
            </w:tcBorders>
            <w:tcMar>
              <w:bottom w:w="28" w:type="dxa"/>
            </w:tcMar>
            <w:vAlign w:val="center"/>
          </w:tcPr>
          <w:p>
            <w:pPr>
              <w:pStyle w:val="TableContents"/>
              <w:bidi w:val="0"/>
              <w:spacing w:before="0" w:after="283"/>
              <w:jc w:val="left"/>
              <w:rPr/>
            </w:pPr>
            <w:r>
              <w:rPr/>
              <w:t> </w:t>
            </w:r>
          </w:p>
        </w:tc>
        <w:tc>
          <w:tcPr>
            <w:tcW w:w="1928"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2024</w:t>
            </w:r>
          </w:p>
        </w:tc>
      </w:tr>
      <w:tr>
        <w:trPr/>
        <w:tc>
          <w:tcPr>
            <w:tcW w:w="53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31" w:type="dxa"/>
            <w:gridSpan w:val="7"/>
            <w:vMerge w:val="restart"/>
            <w:tcBorders/>
            <w:vAlign w:val="center"/>
          </w:tcPr>
          <w:p>
            <w:pPr>
              <w:pStyle w:val="TableContents"/>
              <w:bidi w:val="0"/>
              <w:spacing w:before="0" w:after="283"/>
              <w:jc w:val="center"/>
              <w:rPr>
                <w:b/>
                <w:sz w:val="20"/>
              </w:rPr>
            </w:pPr>
            <w:r>
              <w:rPr>
                <w:b/>
                <w:sz w:val="20"/>
              </w:rPr>
              <w:t>(In thousands except share and per share data)</w:t>
            </w:r>
            <w:bookmarkStart w:id="152" w:name="xdx_409_eus-gaap--RevenuesAbstract_iB_z2"/>
            <w:bookmarkEnd w:id="152"/>
          </w:p>
        </w:tc>
      </w:tr>
      <w:tr>
        <w:trPr/>
        <w:tc>
          <w:tcPr>
            <w:tcW w:w="5315" w:type="dxa"/>
            <w:tcBorders/>
            <w:vAlign w:val="center"/>
          </w:tcPr>
          <w:p>
            <w:pPr>
              <w:pStyle w:val="TableContents"/>
              <w:bidi w:val="0"/>
              <w:spacing w:before="0" w:after="283"/>
              <w:jc w:val="left"/>
              <w:rPr>
                <w:b/>
                <w:sz w:val="20"/>
              </w:rPr>
            </w:pPr>
            <w:r>
              <w:rPr>
                <w:b/>
                <w:sz w:val="20"/>
              </w:rPr>
              <w:t>Revenue:</w:t>
            </w:r>
          </w:p>
        </w:tc>
        <w:tc>
          <w:tcPr>
            <w:tcW w:w="60" w:type="dxa"/>
            <w:tcBorders/>
            <w:vAlign w:val="center"/>
          </w:tcPr>
          <w:p>
            <w:pPr>
              <w:pStyle w:val="TableContents"/>
              <w:bidi w:val="0"/>
              <w:spacing w:before="0" w:after="283"/>
              <w:jc w:val="left"/>
              <w:rPr/>
            </w:pPr>
            <w:r>
              <w:rPr/>
              <w:t> </w:t>
            </w:r>
          </w:p>
        </w:tc>
        <w:tc>
          <w:tcPr>
            <w:tcW w:w="3931" w:type="dxa"/>
            <w:gridSpan w:val="7"/>
            <w:vMerge w:val="continue"/>
            <w:tcBorders/>
            <w:vAlign w:val="center"/>
          </w:tcPr>
          <w:p>
            <w:pPr>
              <w:pStyle w:val="Normal"/>
              <w:bidi w:val="0"/>
              <w:jc w:val="left"/>
              <w:rPr/>
            </w:pPr>
            <w:r>
              <w:rPr/>
            </w:r>
          </w:p>
        </w:tc>
      </w:tr>
      <w:tr>
        <w:trPr/>
        <w:tc>
          <w:tcPr>
            <w:tcW w:w="5315" w:type="dxa"/>
            <w:tcBorders/>
            <w:shd w:fill="CCEEFF" w:val="clear"/>
            <w:vAlign w:val="center"/>
          </w:tcPr>
          <w:p>
            <w:pPr>
              <w:pStyle w:val="TableContents"/>
              <w:bidi w:val="0"/>
              <w:spacing w:before="0" w:after="283"/>
              <w:jc w:val="both"/>
              <w:rPr>
                <w:sz w:val="20"/>
              </w:rPr>
            </w:pPr>
            <w:r>
              <w:rPr>
                <w:sz w:val="20"/>
              </w:rPr>
              <w:t>Product revenue</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right"/>
              <w:rPr>
                <w:sz w:val="20"/>
              </w:rPr>
            </w:pPr>
            <w:r>
              <w:rPr>
                <w:sz w:val="20"/>
              </w:rPr>
              <w:t>$</w:t>
            </w:r>
            <w:bookmarkStart w:id="153" w:name="xdx_983_eus-gaap--RevenueFromContractWit"/>
            <w:bookmarkEnd w:id="153"/>
          </w:p>
        </w:tc>
        <w:tc>
          <w:tcPr>
            <w:tcW w:w="1594" w:type="dxa"/>
            <w:tcBorders/>
            <w:shd w:fill="CCEEFF" w:val="clear"/>
            <w:vAlign w:val="center"/>
          </w:tcPr>
          <w:p>
            <w:pPr>
              <w:pStyle w:val="TableContents"/>
              <w:bidi w:val="0"/>
              <w:spacing w:before="0" w:after="283"/>
              <w:jc w:val="right"/>
              <w:rPr>
                <w:sz w:val="20"/>
              </w:rPr>
            </w:pPr>
            <w:r>
              <w:rPr>
                <w:sz w:val="20"/>
              </w:rPr>
              <w:t>61,794</w:t>
            </w:r>
          </w:p>
        </w:tc>
        <w:tc>
          <w:tcPr>
            <w:tcW w:w="10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right"/>
              <w:rPr>
                <w:sz w:val="20"/>
              </w:rPr>
            </w:pPr>
            <w:r>
              <w:rPr>
                <w:sz w:val="20"/>
              </w:rPr>
              <w:t>$</w:t>
            </w:r>
            <w:bookmarkStart w:id="154" w:name="xdx_985_eus-gaap--RevenueFromContractWit"/>
            <w:bookmarkEnd w:id="154"/>
          </w:p>
        </w:tc>
        <w:tc>
          <w:tcPr>
            <w:tcW w:w="1594" w:type="dxa"/>
            <w:tcBorders/>
            <w:shd w:fill="CCEEFF" w:val="clear"/>
            <w:vAlign w:val="center"/>
          </w:tcPr>
          <w:p>
            <w:pPr>
              <w:pStyle w:val="TableContents"/>
              <w:bidi w:val="0"/>
              <w:spacing w:before="0" w:after="283"/>
              <w:jc w:val="right"/>
              <w:rPr>
                <w:sz w:val="20"/>
              </w:rPr>
            </w:pPr>
            <w:r>
              <w:rPr>
                <w:sz w:val="20"/>
              </w:rPr>
              <w:t>51,890</w:t>
            </w:r>
          </w:p>
        </w:tc>
        <w:tc>
          <w:tcPr>
            <w:tcW w:w="125" w:type="dxa"/>
            <w:tcBorders/>
            <w:shd w:fill="CCEEFF" w:val="clear"/>
            <w:vAlign w:val="center"/>
          </w:tcPr>
          <w:p>
            <w:pPr>
              <w:pStyle w:val="TableContents"/>
              <w:bidi w:val="0"/>
              <w:spacing w:before="0" w:after="283"/>
              <w:jc w:val="left"/>
              <w:rPr/>
            </w:pPr>
            <w:r>
              <w:rPr/>
              <w:t> </w:t>
            </w:r>
          </w:p>
        </w:tc>
      </w:tr>
      <w:tr>
        <w:trPr/>
        <w:tc>
          <w:tcPr>
            <w:tcW w:w="5315" w:type="dxa"/>
            <w:tcBorders/>
            <w:vAlign w:val="center"/>
          </w:tcPr>
          <w:p>
            <w:pPr>
              <w:pStyle w:val="TableContents"/>
              <w:bidi w:val="0"/>
              <w:spacing w:before="0" w:after="283"/>
              <w:jc w:val="both"/>
              <w:rPr>
                <w:sz w:val="20"/>
              </w:rPr>
            </w:pPr>
            <w:r>
              <w:rPr>
                <w:sz w:val="20"/>
              </w:rPr>
              <w:t>Other revenue</w:t>
            </w:r>
          </w:p>
        </w:tc>
        <w:tc>
          <w:tcPr>
            <w:tcW w:w="60" w:type="dxa"/>
            <w:tcBorders/>
            <w:shd w:fill="FFFFFF" w:val="clear"/>
            <w:vAlign w:val="center"/>
          </w:tcPr>
          <w:p>
            <w:pPr>
              <w:pStyle w:val="TableContents"/>
              <w:bidi w:val="0"/>
              <w:spacing w:before="0" w:after="283"/>
              <w:jc w:val="left"/>
              <w:rPr/>
            </w:pPr>
            <w:r>
              <w:rPr/>
              <w:t> </w:t>
            </w:r>
          </w:p>
        </w:tc>
        <w:tc>
          <w:tcPr>
            <w:tcW w:w="209"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bookmarkStart w:id="155" w:name="xdx_982_eus-gaap--RevenueFromContractWit"/>
            <w:bookmarkEnd w:id="155"/>
          </w:p>
        </w:tc>
        <w:tc>
          <w:tcPr>
            <w:tcW w:w="1594"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270</w:t>
            </w:r>
          </w:p>
        </w:tc>
        <w:tc>
          <w:tcPr>
            <w:tcW w:w="10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209"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bookmarkStart w:id="156" w:name="xdx_987_eus-gaap--RevenueFromContractWit"/>
            <w:bookmarkEnd w:id="156"/>
          </w:p>
        </w:tc>
        <w:tc>
          <w:tcPr>
            <w:tcW w:w="1594"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457</w:t>
            </w:r>
          </w:p>
        </w:tc>
        <w:tc>
          <w:tcPr>
            <w:tcW w:w="125" w:type="dxa"/>
            <w:tcBorders/>
            <w:shd w:fill="FFFFFF" w:val="clear"/>
            <w:vAlign w:val="center"/>
          </w:tcPr>
          <w:p>
            <w:pPr>
              <w:pStyle w:val="TableContents"/>
              <w:bidi w:val="0"/>
              <w:spacing w:before="0" w:after="283"/>
              <w:jc w:val="left"/>
              <w:rPr/>
            </w:pPr>
            <w:r>
              <w:rPr/>
              <w:t> </w:t>
            </w:r>
            <w:bookmarkStart w:id="157" w:name="xdx_40B_eus-gaap--RevenueFromContractWit"/>
            <w:bookmarkEnd w:id="157"/>
          </w:p>
        </w:tc>
      </w:tr>
      <w:tr>
        <w:trPr/>
        <w:tc>
          <w:tcPr>
            <w:tcW w:w="5315" w:type="dxa"/>
            <w:tcBorders/>
            <w:shd w:fill="CCEEFF" w:val="clear"/>
            <w:vAlign w:val="center"/>
          </w:tcPr>
          <w:p>
            <w:pPr>
              <w:pStyle w:val="TableContents"/>
              <w:bidi w:val="0"/>
              <w:spacing w:before="0" w:after="283"/>
              <w:jc w:val="both"/>
              <w:rPr>
                <w:sz w:val="20"/>
              </w:rPr>
            </w:pPr>
            <w:r>
              <w:rPr>
                <w:sz w:val="20"/>
              </w:rPr>
              <w:t>Total revenue</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right"/>
              <w:rPr/>
            </w:pPr>
            <w:r>
              <w:rPr/>
              <w:t> </w:t>
            </w:r>
          </w:p>
        </w:tc>
        <w:tc>
          <w:tcPr>
            <w:tcW w:w="1594" w:type="dxa"/>
            <w:tcBorders/>
            <w:shd w:fill="CCEEFF" w:val="clear"/>
            <w:vAlign w:val="center"/>
          </w:tcPr>
          <w:p>
            <w:pPr>
              <w:pStyle w:val="TableContents"/>
              <w:bidi w:val="0"/>
              <w:spacing w:before="0" w:after="283"/>
              <w:jc w:val="right"/>
              <w:rPr>
                <w:sz w:val="20"/>
              </w:rPr>
            </w:pPr>
            <w:r>
              <w:rPr>
                <w:sz w:val="20"/>
              </w:rPr>
              <w:t>62,064</w:t>
            </w:r>
          </w:p>
        </w:tc>
        <w:tc>
          <w:tcPr>
            <w:tcW w:w="10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right"/>
              <w:rPr/>
            </w:pPr>
            <w:r>
              <w:rPr/>
              <w:t> </w:t>
            </w:r>
          </w:p>
        </w:tc>
        <w:tc>
          <w:tcPr>
            <w:tcW w:w="1594" w:type="dxa"/>
            <w:tcBorders/>
            <w:shd w:fill="CCEEFF" w:val="clear"/>
            <w:vAlign w:val="center"/>
          </w:tcPr>
          <w:p>
            <w:pPr>
              <w:pStyle w:val="TableContents"/>
              <w:bidi w:val="0"/>
              <w:spacing w:before="0" w:after="283"/>
              <w:jc w:val="right"/>
              <w:rPr>
                <w:sz w:val="20"/>
              </w:rPr>
            </w:pPr>
            <w:r>
              <w:rPr>
                <w:sz w:val="20"/>
              </w:rPr>
              <w:t>52,347</w:t>
            </w:r>
          </w:p>
        </w:tc>
        <w:tc>
          <w:tcPr>
            <w:tcW w:w="125" w:type="dxa"/>
            <w:tcBorders/>
            <w:shd w:fill="CCEEFF" w:val="clear"/>
            <w:vAlign w:val="center"/>
          </w:tcPr>
          <w:p>
            <w:pPr>
              <w:pStyle w:val="TableContents"/>
              <w:bidi w:val="0"/>
              <w:spacing w:before="0" w:after="283"/>
              <w:jc w:val="left"/>
              <w:rPr/>
            </w:pPr>
            <w:r>
              <w:rPr/>
              <w:t> </w:t>
            </w:r>
          </w:p>
        </w:tc>
      </w:tr>
      <w:tr>
        <w:trPr/>
        <w:tc>
          <w:tcPr>
            <w:tcW w:w="5315" w:type="dxa"/>
            <w:tcBorders/>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right"/>
              <w:rPr/>
            </w:pPr>
            <w:r>
              <w:rPr/>
              <w:t> </w:t>
            </w:r>
          </w:p>
        </w:tc>
        <w:tc>
          <w:tcPr>
            <w:tcW w:w="1594"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right"/>
              <w:rPr/>
            </w:pPr>
            <w:r>
              <w:rPr/>
              <w:t> </w:t>
            </w:r>
          </w:p>
        </w:tc>
        <w:tc>
          <w:tcPr>
            <w:tcW w:w="1594"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bookmarkStart w:id="158" w:name="xdx_405_eus-gaap--OperatingExpensesAbstr"/>
            <w:bookmarkEnd w:id="158"/>
          </w:p>
        </w:tc>
      </w:tr>
      <w:tr>
        <w:trPr/>
        <w:tc>
          <w:tcPr>
            <w:tcW w:w="5315" w:type="dxa"/>
            <w:tcBorders/>
            <w:shd w:fill="CCEEFF" w:val="clear"/>
            <w:vAlign w:val="center"/>
          </w:tcPr>
          <w:p>
            <w:pPr>
              <w:pStyle w:val="TableContents"/>
              <w:bidi w:val="0"/>
              <w:spacing w:before="0" w:after="283"/>
              <w:jc w:val="left"/>
              <w:rPr>
                <w:b/>
                <w:sz w:val="20"/>
              </w:rPr>
            </w:pPr>
            <w:r>
              <w:rPr>
                <w:b/>
                <w:sz w:val="20"/>
              </w:rPr>
              <w:t>Operating expense:</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right"/>
              <w:rPr/>
            </w:pPr>
            <w:r>
              <w:rPr/>
              <w:t> </w:t>
            </w:r>
          </w:p>
        </w:tc>
        <w:tc>
          <w:tcPr>
            <w:tcW w:w="1594"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right"/>
              <w:rPr/>
            </w:pPr>
            <w:r>
              <w:rPr/>
              <w:t> </w:t>
            </w:r>
          </w:p>
        </w:tc>
        <w:tc>
          <w:tcPr>
            <w:tcW w:w="1594"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bookmarkStart w:id="159" w:name="xdx_40F_eus-gaap--CostOfGoodsAndServices"/>
            <w:bookmarkEnd w:id="159"/>
          </w:p>
        </w:tc>
      </w:tr>
      <w:tr>
        <w:trPr/>
        <w:tc>
          <w:tcPr>
            <w:tcW w:w="5315" w:type="dxa"/>
            <w:tcBorders/>
            <w:vAlign w:val="center"/>
          </w:tcPr>
          <w:p>
            <w:pPr>
              <w:pStyle w:val="TableContents"/>
              <w:bidi w:val="0"/>
              <w:spacing w:before="0" w:after="283"/>
              <w:jc w:val="both"/>
              <w:rPr>
                <w:sz w:val="20"/>
              </w:rPr>
            </w:pPr>
            <w:r>
              <w:rPr>
                <w:sz w:val="20"/>
              </w:rPr>
              <w:t>Cost of revenue</w:t>
            </w:r>
          </w:p>
        </w:tc>
        <w:tc>
          <w:tcPr>
            <w:tcW w:w="60" w:type="dxa"/>
            <w:tcBorders/>
            <w:shd w:fill="FFFFFF" w:val="clear"/>
            <w:vAlign w:val="center"/>
          </w:tcPr>
          <w:p>
            <w:pPr>
              <w:pStyle w:val="TableContents"/>
              <w:bidi w:val="0"/>
              <w:spacing w:before="0" w:after="283"/>
              <w:jc w:val="left"/>
              <w:rPr/>
            </w:pPr>
            <w:r>
              <w:rPr/>
              <w:t> </w:t>
            </w:r>
          </w:p>
        </w:tc>
        <w:tc>
          <w:tcPr>
            <w:tcW w:w="209"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594"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46,001</w:t>
            </w:r>
          </w:p>
        </w:tc>
        <w:tc>
          <w:tcPr>
            <w:tcW w:w="10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209"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594"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36,159</w:t>
            </w:r>
          </w:p>
        </w:tc>
        <w:tc>
          <w:tcPr>
            <w:tcW w:w="125" w:type="dxa"/>
            <w:tcBorders/>
            <w:shd w:fill="FFFFFF" w:val="clear"/>
            <w:vAlign w:val="center"/>
          </w:tcPr>
          <w:p>
            <w:pPr>
              <w:pStyle w:val="TableContents"/>
              <w:bidi w:val="0"/>
              <w:spacing w:before="0" w:after="283"/>
              <w:jc w:val="left"/>
              <w:rPr/>
            </w:pPr>
            <w:r>
              <w:rPr/>
              <w:t> </w:t>
            </w:r>
            <w:bookmarkStart w:id="160" w:name="xdx_404_eus-gaap--GrossProfit_iT_mtCzhij"/>
            <w:bookmarkEnd w:id="160"/>
          </w:p>
        </w:tc>
      </w:tr>
      <w:tr>
        <w:trPr/>
        <w:tc>
          <w:tcPr>
            <w:tcW w:w="5315" w:type="dxa"/>
            <w:tcBorders/>
            <w:shd w:fill="CCEEFF" w:val="clear"/>
            <w:vAlign w:val="center"/>
          </w:tcPr>
          <w:p>
            <w:pPr>
              <w:pStyle w:val="TableContents"/>
              <w:bidi w:val="0"/>
              <w:spacing w:before="0" w:after="283"/>
              <w:jc w:val="both"/>
              <w:rPr>
                <w:sz w:val="20"/>
              </w:rPr>
            </w:pPr>
            <w:r>
              <w:rPr>
                <w:sz w:val="20"/>
              </w:rPr>
              <w:t>Gross profit</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right"/>
              <w:rPr/>
            </w:pPr>
            <w:r>
              <w:rPr/>
              <w:t> </w:t>
            </w:r>
          </w:p>
        </w:tc>
        <w:tc>
          <w:tcPr>
            <w:tcW w:w="1594" w:type="dxa"/>
            <w:tcBorders/>
            <w:shd w:fill="CCEEFF" w:val="clear"/>
            <w:vAlign w:val="center"/>
          </w:tcPr>
          <w:p>
            <w:pPr>
              <w:pStyle w:val="TableContents"/>
              <w:bidi w:val="0"/>
              <w:spacing w:before="0" w:after="283"/>
              <w:jc w:val="right"/>
              <w:rPr>
                <w:sz w:val="20"/>
              </w:rPr>
            </w:pPr>
            <w:r>
              <w:rPr>
                <w:sz w:val="20"/>
              </w:rPr>
              <w:t>16,063</w:t>
            </w:r>
          </w:p>
        </w:tc>
        <w:tc>
          <w:tcPr>
            <w:tcW w:w="10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right"/>
              <w:rPr/>
            </w:pPr>
            <w:r>
              <w:rPr/>
              <w:t> </w:t>
            </w:r>
          </w:p>
        </w:tc>
        <w:tc>
          <w:tcPr>
            <w:tcW w:w="1594" w:type="dxa"/>
            <w:tcBorders/>
            <w:shd w:fill="CCEEFF" w:val="clear"/>
            <w:vAlign w:val="center"/>
          </w:tcPr>
          <w:p>
            <w:pPr>
              <w:pStyle w:val="TableContents"/>
              <w:bidi w:val="0"/>
              <w:spacing w:before="0" w:after="283"/>
              <w:jc w:val="right"/>
              <w:rPr>
                <w:sz w:val="20"/>
              </w:rPr>
            </w:pPr>
            <w:r>
              <w:rPr>
                <w:sz w:val="20"/>
              </w:rPr>
              <w:t>16,188</w:t>
            </w:r>
          </w:p>
        </w:tc>
        <w:tc>
          <w:tcPr>
            <w:tcW w:w="125" w:type="dxa"/>
            <w:tcBorders/>
            <w:shd w:fill="CCEEFF" w:val="clear"/>
            <w:vAlign w:val="center"/>
          </w:tcPr>
          <w:p>
            <w:pPr>
              <w:pStyle w:val="TableContents"/>
              <w:bidi w:val="0"/>
              <w:spacing w:before="0" w:after="283"/>
              <w:jc w:val="left"/>
              <w:rPr/>
            </w:pPr>
            <w:r>
              <w:rPr/>
              <w:t> </w:t>
            </w:r>
          </w:p>
        </w:tc>
      </w:tr>
      <w:tr>
        <w:trPr/>
        <w:tc>
          <w:tcPr>
            <w:tcW w:w="5315" w:type="dxa"/>
            <w:tcBorders/>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right"/>
              <w:rPr/>
            </w:pPr>
            <w:r>
              <w:rPr/>
              <w:t> </w:t>
            </w:r>
          </w:p>
        </w:tc>
        <w:tc>
          <w:tcPr>
            <w:tcW w:w="1594"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right"/>
              <w:rPr/>
            </w:pPr>
            <w:r>
              <w:rPr/>
              <w:t> </w:t>
            </w:r>
          </w:p>
        </w:tc>
        <w:tc>
          <w:tcPr>
            <w:tcW w:w="1594"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bookmarkStart w:id="161" w:name="xdx_400_eus-gaap--ResearchAndDevelopment"/>
            <w:bookmarkEnd w:id="161"/>
          </w:p>
        </w:tc>
      </w:tr>
      <w:tr>
        <w:trPr/>
        <w:tc>
          <w:tcPr>
            <w:tcW w:w="5315" w:type="dxa"/>
            <w:tcBorders/>
            <w:shd w:fill="CCEEFF" w:val="clear"/>
            <w:vAlign w:val="center"/>
          </w:tcPr>
          <w:p>
            <w:pPr>
              <w:pStyle w:val="TableContents"/>
              <w:bidi w:val="0"/>
              <w:spacing w:before="0" w:after="283"/>
              <w:jc w:val="both"/>
              <w:rPr>
                <w:sz w:val="20"/>
              </w:rPr>
            </w:pPr>
            <w:r>
              <w:rPr>
                <w:sz w:val="20"/>
              </w:rPr>
              <w:t>Research and development expense</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right"/>
              <w:rPr/>
            </w:pPr>
            <w:r>
              <w:rPr/>
              <w:t> </w:t>
            </w:r>
          </w:p>
        </w:tc>
        <w:tc>
          <w:tcPr>
            <w:tcW w:w="1594" w:type="dxa"/>
            <w:tcBorders/>
            <w:shd w:fill="CCEEFF" w:val="clear"/>
            <w:vAlign w:val="center"/>
          </w:tcPr>
          <w:p>
            <w:pPr>
              <w:pStyle w:val="TableContents"/>
              <w:bidi w:val="0"/>
              <w:spacing w:before="0" w:after="283"/>
              <w:jc w:val="right"/>
              <w:rPr>
                <w:sz w:val="20"/>
              </w:rPr>
            </w:pPr>
            <w:r>
              <w:rPr>
                <w:sz w:val="20"/>
              </w:rPr>
              <w:t>4,090</w:t>
            </w:r>
          </w:p>
        </w:tc>
        <w:tc>
          <w:tcPr>
            <w:tcW w:w="10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right"/>
              <w:rPr/>
            </w:pPr>
            <w:r>
              <w:rPr/>
              <w:t> </w:t>
            </w:r>
          </w:p>
        </w:tc>
        <w:tc>
          <w:tcPr>
            <w:tcW w:w="1594" w:type="dxa"/>
            <w:tcBorders/>
            <w:shd w:fill="CCEEFF" w:val="clear"/>
            <w:vAlign w:val="center"/>
          </w:tcPr>
          <w:p>
            <w:pPr>
              <w:pStyle w:val="TableContents"/>
              <w:bidi w:val="0"/>
              <w:spacing w:before="0" w:after="283"/>
              <w:jc w:val="right"/>
              <w:rPr>
                <w:sz w:val="20"/>
              </w:rPr>
            </w:pPr>
            <w:r>
              <w:rPr>
                <w:sz w:val="20"/>
              </w:rPr>
              <w:t>3,837</w:t>
            </w:r>
          </w:p>
        </w:tc>
        <w:tc>
          <w:tcPr>
            <w:tcW w:w="125" w:type="dxa"/>
            <w:tcBorders/>
            <w:shd w:fill="CCEEFF" w:val="clear"/>
            <w:vAlign w:val="center"/>
          </w:tcPr>
          <w:p>
            <w:pPr>
              <w:pStyle w:val="TableContents"/>
              <w:bidi w:val="0"/>
              <w:spacing w:before="0" w:after="283"/>
              <w:jc w:val="left"/>
              <w:rPr/>
            </w:pPr>
            <w:r>
              <w:rPr/>
              <w:t> </w:t>
            </w:r>
            <w:bookmarkStart w:id="162" w:name="xdx_407_eus-gaap--SellingGeneralAndAdmin"/>
            <w:bookmarkEnd w:id="162"/>
          </w:p>
        </w:tc>
      </w:tr>
      <w:tr>
        <w:trPr/>
        <w:tc>
          <w:tcPr>
            <w:tcW w:w="5315" w:type="dxa"/>
            <w:tcBorders/>
            <w:vAlign w:val="center"/>
          </w:tcPr>
          <w:p>
            <w:pPr>
              <w:pStyle w:val="TableContents"/>
              <w:bidi w:val="0"/>
              <w:spacing w:before="0" w:after="283"/>
              <w:jc w:val="left"/>
              <w:rPr>
                <w:sz w:val="20"/>
              </w:rPr>
            </w:pPr>
            <w:r>
              <w:rPr>
                <w:sz w:val="20"/>
              </w:rPr>
              <w:t>Selling, general and administrative expense</w:t>
            </w:r>
          </w:p>
        </w:tc>
        <w:tc>
          <w:tcPr>
            <w:tcW w:w="60" w:type="dxa"/>
            <w:tcBorders/>
            <w:shd w:fill="FFFFFF" w:val="clear"/>
            <w:vAlign w:val="center"/>
          </w:tcPr>
          <w:p>
            <w:pPr>
              <w:pStyle w:val="TableContents"/>
              <w:bidi w:val="0"/>
              <w:spacing w:before="0" w:after="283"/>
              <w:jc w:val="left"/>
              <w:rPr/>
            </w:pPr>
            <w:r>
              <w:rPr/>
              <w:t> </w:t>
            </w:r>
          </w:p>
        </w:tc>
        <w:tc>
          <w:tcPr>
            <w:tcW w:w="209"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594"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10,401</w:t>
            </w:r>
          </w:p>
        </w:tc>
        <w:tc>
          <w:tcPr>
            <w:tcW w:w="10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209"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594"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7,219</w:t>
            </w:r>
          </w:p>
        </w:tc>
        <w:tc>
          <w:tcPr>
            <w:tcW w:w="125" w:type="dxa"/>
            <w:tcBorders/>
            <w:shd w:fill="FFFFFF" w:val="clear"/>
            <w:vAlign w:val="center"/>
          </w:tcPr>
          <w:p>
            <w:pPr>
              <w:pStyle w:val="TableContents"/>
              <w:bidi w:val="0"/>
              <w:spacing w:before="0" w:after="283"/>
              <w:jc w:val="left"/>
              <w:rPr/>
            </w:pPr>
            <w:r>
              <w:rPr/>
              <w:t> </w:t>
            </w:r>
            <w:bookmarkStart w:id="163" w:name="xdx_409_eus-gaap--OperatingIncomeLoss_iT"/>
            <w:bookmarkEnd w:id="163"/>
          </w:p>
        </w:tc>
      </w:tr>
      <w:tr>
        <w:trPr/>
        <w:tc>
          <w:tcPr>
            <w:tcW w:w="5315" w:type="dxa"/>
            <w:tcBorders/>
            <w:shd w:fill="CCEEFF" w:val="clear"/>
            <w:vAlign w:val="center"/>
          </w:tcPr>
          <w:p>
            <w:pPr>
              <w:pStyle w:val="TableContents"/>
              <w:bidi w:val="0"/>
              <w:spacing w:before="0" w:after="283"/>
              <w:jc w:val="both"/>
              <w:rPr>
                <w:sz w:val="20"/>
              </w:rPr>
            </w:pPr>
            <w:r>
              <w:rPr>
                <w:sz w:val="20"/>
              </w:rPr>
              <w:t>Net income from operations</w:t>
            </w:r>
          </w:p>
        </w:tc>
        <w:tc>
          <w:tcPr>
            <w:tcW w:w="60" w:type="dxa"/>
            <w:tcBorders/>
            <w:shd w:fill="CCEEFF" w:val="clear"/>
            <w:vAlign w:val="center"/>
          </w:tcPr>
          <w:p>
            <w:pPr>
              <w:pStyle w:val="TableContents"/>
              <w:bidi w:val="0"/>
              <w:spacing w:before="0" w:after="283"/>
              <w:jc w:val="left"/>
              <w:rPr/>
            </w:pPr>
            <w:r>
              <w:rPr/>
              <w:t> </w:t>
            </w:r>
          </w:p>
        </w:tc>
        <w:tc>
          <w:tcPr>
            <w:tcW w:w="209"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594"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1,572</w:t>
            </w:r>
          </w:p>
        </w:tc>
        <w:tc>
          <w:tcPr>
            <w:tcW w:w="10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209"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594"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5,132</w:t>
            </w:r>
          </w:p>
        </w:tc>
        <w:tc>
          <w:tcPr>
            <w:tcW w:w="125" w:type="dxa"/>
            <w:tcBorders/>
            <w:shd w:fill="CCEEFF" w:val="clear"/>
            <w:vAlign w:val="center"/>
          </w:tcPr>
          <w:p>
            <w:pPr>
              <w:pStyle w:val="TableContents"/>
              <w:bidi w:val="0"/>
              <w:spacing w:before="0" w:after="283"/>
              <w:jc w:val="left"/>
              <w:rPr/>
            </w:pPr>
            <w:r>
              <w:rPr/>
              <w:t> </w:t>
            </w:r>
            <w:bookmarkStart w:id="164" w:name="xdx_40E_eus-gaap--InterestIncomeExpenseN"/>
            <w:bookmarkEnd w:id="164"/>
          </w:p>
        </w:tc>
      </w:tr>
      <w:tr>
        <w:trPr/>
        <w:tc>
          <w:tcPr>
            <w:tcW w:w="5315" w:type="dxa"/>
            <w:tcBorders/>
            <w:vAlign w:val="center"/>
          </w:tcPr>
          <w:p>
            <w:pPr>
              <w:pStyle w:val="TableContents"/>
              <w:bidi w:val="0"/>
              <w:spacing w:before="0" w:after="283"/>
              <w:jc w:val="both"/>
              <w:rPr>
                <w:sz w:val="20"/>
              </w:rPr>
            </w:pPr>
            <w:r>
              <w:rPr>
                <w:sz w:val="20"/>
              </w:rPr>
              <w:t>Interest expense, net</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right"/>
              <w:rPr/>
            </w:pPr>
            <w:r>
              <w:rPr/>
              <w:t> </w:t>
            </w:r>
          </w:p>
        </w:tc>
        <w:tc>
          <w:tcPr>
            <w:tcW w:w="1594" w:type="dxa"/>
            <w:tcBorders/>
            <w:shd w:fill="FFFFFF" w:val="clear"/>
            <w:vAlign w:val="center"/>
          </w:tcPr>
          <w:p>
            <w:pPr>
              <w:pStyle w:val="TableContents"/>
              <w:bidi w:val="0"/>
              <w:spacing w:before="0" w:after="283"/>
              <w:jc w:val="right"/>
              <w:rPr>
                <w:sz w:val="20"/>
              </w:rPr>
            </w:pPr>
            <w:r>
              <w:rPr>
                <w:sz w:val="20"/>
              </w:rPr>
              <w:t>931</w:t>
            </w:r>
          </w:p>
        </w:tc>
        <w:tc>
          <w:tcPr>
            <w:tcW w:w="10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right"/>
              <w:rPr/>
            </w:pPr>
            <w:r>
              <w:rPr/>
              <w:t> </w:t>
            </w:r>
          </w:p>
        </w:tc>
        <w:tc>
          <w:tcPr>
            <w:tcW w:w="1594" w:type="dxa"/>
            <w:tcBorders/>
            <w:shd w:fill="FFFFFF" w:val="clear"/>
            <w:vAlign w:val="center"/>
          </w:tcPr>
          <w:p>
            <w:pPr>
              <w:pStyle w:val="TableContents"/>
              <w:bidi w:val="0"/>
              <w:spacing w:before="0" w:after="283"/>
              <w:jc w:val="right"/>
              <w:rPr>
                <w:sz w:val="20"/>
              </w:rPr>
            </w:pPr>
            <w:r>
              <w:rPr>
                <w:sz w:val="20"/>
              </w:rPr>
              <w:t>670</w:t>
            </w:r>
          </w:p>
        </w:tc>
        <w:tc>
          <w:tcPr>
            <w:tcW w:w="125" w:type="dxa"/>
            <w:tcBorders/>
            <w:shd w:fill="FFFFFF" w:val="clear"/>
            <w:vAlign w:val="center"/>
          </w:tcPr>
          <w:p>
            <w:pPr>
              <w:pStyle w:val="TableContents"/>
              <w:bidi w:val="0"/>
              <w:spacing w:before="0" w:after="283"/>
              <w:jc w:val="left"/>
              <w:rPr/>
            </w:pPr>
            <w:r>
              <w:rPr/>
              <w:t> </w:t>
            </w:r>
            <w:bookmarkStart w:id="165" w:name="xdx_401_eus-gaap--OtherNonoperatingIncom"/>
            <w:bookmarkEnd w:id="165"/>
          </w:p>
        </w:tc>
      </w:tr>
      <w:tr>
        <w:trPr/>
        <w:tc>
          <w:tcPr>
            <w:tcW w:w="5315" w:type="dxa"/>
            <w:tcBorders/>
            <w:shd w:fill="CCEEFF" w:val="clear"/>
            <w:vAlign w:val="center"/>
          </w:tcPr>
          <w:p>
            <w:pPr>
              <w:pStyle w:val="TableContents"/>
              <w:bidi w:val="0"/>
              <w:spacing w:before="0" w:after="283"/>
              <w:jc w:val="both"/>
              <w:rPr>
                <w:sz w:val="20"/>
              </w:rPr>
            </w:pPr>
            <w:r>
              <w:rPr>
                <w:sz w:val="20"/>
              </w:rPr>
              <w:t>Other income, net</w:t>
            </w:r>
          </w:p>
        </w:tc>
        <w:tc>
          <w:tcPr>
            <w:tcW w:w="60" w:type="dxa"/>
            <w:tcBorders/>
            <w:shd w:fill="CCEEFF" w:val="clear"/>
            <w:vAlign w:val="center"/>
          </w:tcPr>
          <w:p>
            <w:pPr>
              <w:pStyle w:val="TableContents"/>
              <w:bidi w:val="0"/>
              <w:spacing w:before="0" w:after="283"/>
              <w:jc w:val="left"/>
              <w:rPr/>
            </w:pPr>
            <w:r>
              <w:rPr/>
              <w:t> </w:t>
            </w:r>
          </w:p>
        </w:tc>
        <w:tc>
          <w:tcPr>
            <w:tcW w:w="209"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594"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1,222</w:t>
            </w:r>
          </w:p>
        </w:tc>
        <w:tc>
          <w:tcPr>
            <w:tcW w:w="10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209"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594"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bookmarkStart w:id="166" w:name="xdx_40A_eus-gaap--IncomeLossFromContinui"/>
            <w:bookmarkEnd w:id="166"/>
          </w:p>
        </w:tc>
      </w:tr>
      <w:tr>
        <w:trPr/>
        <w:tc>
          <w:tcPr>
            <w:tcW w:w="5315" w:type="dxa"/>
            <w:tcBorders/>
            <w:vAlign w:val="center"/>
          </w:tcPr>
          <w:p>
            <w:pPr>
              <w:pStyle w:val="TableContents"/>
              <w:bidi w:val="0"/>
              <w:spacing w:before="0" w:after="283"/>
              <w:jc w:val="both"/>
              <w:rPr>
                <w:sz w:val="20"/>
              </w:rPr>
            </w:pPr>
            <w:r>
              <w:rPr>
                <w:sz w:val="20"/>
              </w:rPr>
              <w:t>Net income before provision for income taxes</w:t>
            </w:r>
          </w:p>
        </w:tc>
        <w:tc>
          <w:tcPr>
            <w:tcW w:w="60" w:type="dxa"/>
            <w:tcBorders/>
            <w:vAlign w:val="center"/>
          </w:tcPr>
          <w:p>
            <w:pPr>
              <w:pStyle w:val="TableContents"/>
              <w:bidi w:val="0"/>
              <w:spacing w:before="0" w:after="283"/>
              <w:jc w:val="left"/>
              <w:rPr/>
            </w:pPr>
            <w:r>
              <w:rPr/>
              <w:t> </w:t>
            </w:r>
          </w:p>
        </w:tc>
        <w:tc>
          <w:tcPr>
            <w:tcW w:w="209" w:type="dxa"/>
            <w:tcBorders>
              <w:bottom w:val="single" w:sz="8" w:space="0" w:color="000000"/>
            </w:tcBorders>
            <w:tcMar>
              <w:bottom w:w="28" w:type="dxa"/>
            </w:tcMar>
            <w:vAlign w:val="center"/>
          </w:tcPr>
          <w:p>
            <w:pPr>
              <w:pStyle w:val="TableContents"/>
              <w:bidi w:val="0"/>
              <w:spacing w:before="0" w:after="283"/>
              <w:jc w:val="right"/>
              <w:rPr/>
            </w:pPr>
            <w:r>
              <w:rPr/>
              <w:t> </w:t>
            </w:r>
          </w:p>
        </w:tc>
        <w:tc>
          <w:tcPr>
            <w:tcW w:w="1594" w:type="dxa"/>
            <w:tcBorders>
              <w:bottom w:val="single" w:sz="8" w:space="0" w:color="000000"/>
            </w:tcBorders>
            <w:tcMar>
              <w:bottom w:w="28" w:type="dxa"/>
            </w:tcMar>
            <w:vAlign w:val="center"/>
          </w:tcPr>
          <w:p>
            <w:pPr>
              <w:pStyle w:val="TableContents"/>
              <w:bidi w:val="0"/>
              <w:spacing w:before="0" w:after="283"/>
              <w:jc w:val="right"/>
              <w:rPr>
                <w:sz w:val="20"/>
              </w:rPr>
            </w:pPr>
            <w:r>
              <w:rPr>
                <w:sz w:val="20"/>
              </w:rPr>
              <w:t>1,863</w:t>
            </w:r>
          </w:p>
        </w:tc>
        <w:tc>
          <w:tcPr>
            <w:tcW w:w="10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209" w:type="dxa"/>
            <w:tcBorders>
              <w:bottom w:val="single" w:sz="8" w:space="0" w:color="000000"/>
            </w:tcBorders>
            <w:tcMar>
              <w:bottom w:w="28" w:type="dxa"/>
            </w:tcMar>
            <w:vAlign w:val="center"/>
          </w:tcPr>
          <w:p>
            <w:pPr>
              <w:pStyle w:val="TableContents"/>
              <w:bidi w:val="0"/>
              <w:spacing w:before="0" w:after="283"/>
              <w:jc w:val="right"/>
              <w:rPr/>
            </w:pPr>
            <w:r>
              <w:rPr/>
              <w:t> </w:t>
            </w:r>
          </w:p>
        </w:tc>
        <w:tc>
          <w:tcPr>
            <w:tcW w:w="1594" w:type="dxa"/>
            <w:tcBorders>
              <w:bottom w:val="single" w:sz="8" w:space="0" w:color="000000"/>
            </w:tcBorders>
            <w:tcMar>
              <w:bottom w:w="28" w:type="dxa"/>
            </w:tcMar>
            <w:vAlign w:val="center"/>
          </w:tcPr>
          <w:p>
            <w:pPr>
              <w:pStyle w:val="TableContents"/>
              <w:bidi w:val="0"/>
              <w:spacing w:before="0" w:after="283"/>
              <w:jc w:val="right"/>
              <w:rPr>
                <w:sz w:val="20"/>
              </w:rPr>
            </w:pPr>
            <w:r>
              <w:rPr>
                <w:sz w:val="20"/>
              </w:rPr>
              <w:t>4,462</w:t>
            </w:r>
          </w:p>
        </w:tc>
        <w:tc>
          <w:tcPr>
            <w:tcW w:w="125" w:type="dxa"/>
            <w:tcBorders/>
            <w:vAlign w:val="center"/>
          </w:tcPr>
          <w:p>
            <w:pPr>
              <w:pStyle w:val="TableContents"/>
              <w:bidi w:val="0"/>
              <w:spacing w:before="0" w:after="283"/>
              <w:jc w:val="left"/>
              <w:rPr/>
            </w:pPr>
            <w:r>
              <w:rPr/>
              <w:t> </w:t>
            </w:r>
            <w:bookmarkStart w:id="167" w:name="xdx_406_eus-gaap--IncomeTaxExpenseBenefi"/>
            <w:bookmarkEnd w:id="167"/>
          </w:p>
        </w:tc>
      </w:tr>
      <w:tr>
        <w:trPr/>
        <w:tc>
          <w:tcPr>
            <w:tcW w:w="5315" w:type="dxa"/>
            <w:tcBorders/>
            <w:shd w:fill="CCEEFF" w:val="clear"/>
            <w:vAlign w:val="center"/>
          </w:tcPr>
          <w:p>
            <w:pPr>
              <w:pStyle w:val="TableContents"/>
              <w:bidi w:val="0"/>
              <w:spacing w:before="0" w:after="283"/>
              <w:jc w:val="both"/>
              <w:rPr>
                <w:sz w:val="20"/>
              </w:rPr>
            </w:pPr>
            <w:r>
              <w:rPr>
                <w:sz w:val="20"/>
              </w:rPr>
              <w:t>Provision for income taxes</w:t>
            </w:r>
          </w:p>
        </w:tc>
        <w:tc>
          <w:tcPr>
            <w:tcW w:w="60" w:type="dxa"/>
            <w:tcBorders/>
            <w:shd w:fill="CCEEFF" w:val="clear"/>
            <w:vAlign w:val="center"/>
          </w:tcPr>
          <w:p>
            <w:pPr>
              <w:pStyle w:val="TableContents"/>
              <w:bidi w:val="0"/>
              <w:spacing w:before="0" w:after="283"/>
              <w:jc w:val="left"/>
              <w:rPr/>
            </w:pPr>
            <w:r>
              <w:rPr/>
              <w:t> </w:t>
            </w:r>
          </w:p>
        </w:tc>
        <w:tc>
          <w:tcPr>
            <w:tcW w:w="209"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594"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73</w:t>
            </w:r>
          </w:p>
        </w:tc>
        <w:tc>
          <w:tcPr>
            <w:tcW w:w="10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209"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594"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227</w:t>
            </w:r>
          </w:p>
        </w:tc>
        <w:tc>
          <w:tcPr>
            <w:tcW w:w="125" w:type="dxa"/>
            <w:tcBorders/>
            <w:shd w:fill="CCEEFF" w:val="clear"/>
            <w:vAlign w:val="center"/>
          </w:tcPr>
          <w:p>
            <w:pPr>
              <w:pStyle w:val="TableContents"/>
              <w:bidi w:val="0"/>
              <w:spacing w:before="0" w:after="283"/>
              <w:jc w:val="left"/>
              <w:rPr/>
            </w:pPr>
            <w:r>
              <w:rPr/>
              <w:t> </w:t>
            </w:r>
          </w:p>
        </w:tc>
      </w:tr>
      <w:tr>
        <w:trPr/>
        <w:tc>
          <w:tcPr>
            <w:tcW w:w="53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right"/>
              <w:rPr/>
            </w:pPr>
            <w:r>
              <w:rPr/>
              <w:t> </w:t>
            </w:r>
          </w:p>
        </w:tc>
        <w:tc>
          <w:tcPr>
            <w:tcW w:w="1594" w:type="dxa"/>
            <w:tcBorders/>
            <w:vAlign w:val="center"/>
          </w:tcPr>
          <w:p>
            <w:pPr>
              <w:pStyle w:val="TableContents"/>
              <w:bidi w:val="0"/>
              <w:spacing w:before="0" w:after="283"/>
              <w:jc w:val="right"/>
              <w:rPr/>
            </w:pPr>
            <w:r>
              <w:rPr/>
              <w:t> </w:t>
            </w:r>
          </w:p>
        </w:tc>
        <w:tc>
          <w:tcPr>
            <w:tcW w:w="10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right"/>
              <w:rPr/>
            </w:pPr>
            <w:r>
              <w:rPr/>
              <w:t> </w:t>
            </w:r>
          </w:p>
        </w:tc>
        <w:tc>
          <w:tcPr>
            <w:tcW w:w="1594"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bookmarkStart w:id="168" w:name="xdx_40C_eus-gaap--NetIncomeLoss_iT_mtNIL"/>
            <w:bookmarkEnd w:id="168"/>
          </w:p>
        </w:tc>
      </w:tr>
      <w:tr>
        <w:trPr/>
        <w:tc>
          <w:tcPr>
            <w:tcW w:w="5315" w:type="dxa"/>
            <w:tcBorders/>
            <w:shd w:fill="CCEEFF" w:val="clear"/>
            <w:vAlign w:val="center"/>
          </w:tcPr>
          <w:p>
            <w:pPr>
              <w:pStyle w:val="TableContents"/>
              <w:bidi w:val="0"/>
              <w:spacing w:before="0" w:after="283"/>
              <w:jc w:val="both"/>
              <w:rPr>
                <w:sz w:val="20"/>
              </w:rPr>
            </w:pPr>
            <w:r>
              <w:rPr>
                <w:sz w:val="20"/>
              </w:rPr>
              <w:t>Net income</w:t>
            </w:r>
          </w:p>
        </w:tc>
        <w:tc>
          <w:tcPr>
            <w:tcW w:w="60" w:type="dxa"/>
            <w:tcBorders/>
            <w:shd w:fill="CCEEFF" w:val="clear"/>
            <w:vAlign w:val="center"/>
          </w:tcPr>
          <w:p>
            <w:pPr>
              <w:pStyle w:val="TableContents"/>
              <w:bidi w:val="0"/>
              <w:spacing w:before="0" w:after="283"/>
              <w:jc w:val="left"/>
              <w:rPr/>
            </w:pPr>
            <w:r>
              <w:rPr/>
              <w:t> </w:t>
            </w:r>
          </w:p>
        </w:tc>
        <w:tc>
          <w:tcPr>
            <w:tcW w:w="209"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w:t>
            </w:r>
          </w:p>
        </w:tc>
        <w:tc>
          <w:tcPr>
            <w:tcW w:w="1594"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1,790</w:t>
            </w:r>
          </w:p>
        </w:tc>
        <w:tc>
          <w:tcPr>
            <w:tcW w:w="100"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jc w:val="right"/>
              <w:rPr/>
            </w:pPr>
            <w:r>
              <w:rPr/>
              <w:t> </w:t>
            </w:r>
          </w:p>
        </w:tc>
        <w:tc>
          <w:tcPr>
            <w:tcW w:w="209"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w:t>
            </w:r>
          </w:p>
        </w:tc>
        <w:tc>
          <w:tcPr>
            <w:tcW w:w="1594"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4,235</w:t>
            </w:r>
          </w:p>
        </w:tc>
        <w:tc>
          <w:tcPr>
            <w:tcW w:w="125" w:type="dxa"/>
            <w:tcBorders/>
            <w:shd w:fill="CCEEFF" w:val="clear"/>
            <w:vAlign w:val="center"/>
          </w:tcPr>
          <w:p>
            <w:pPr>
              <w:pStyle w:val="TableContents"/>
              <w:bidi w:val="0"/>
              <w:spacing w:before="0" w:after="283"/>
              <w:jc w:val="right"/>
              <w:rPr/>
            </w:pPr>
            <w:r>
              <w:rPr/>
              <w:t> </w:t>
            </w:r>
          </w:p>
        </w:tc>
      </w:tr>
      <w:tr>
        <w:trPr/>
        <w:tc>
          <w:tcPr>
            <w:tcW w:w="53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right"/>
              <w:rPr/>
            </w:pPr>
            <w:r>
              <w:rPr/>
              <w:t> </w:t>
            </w:r>
          </w:p>
        </w:tc>
        <w:tc>
          <w:tcPr>
            <w:tcW w:w="1594" w:type="dxa"/>
            <w:tcBorders/>
            <w:vAlign w:val="center"/>
          </w:tcPr>
          <w:p>
            <w:pPr>
              <w:pStyle w:val="TableContents"/>
              <w:bidi w:val="0"/>
              <w:spacing w:before="0" w:after="283"/>
              <w:jc w:val="right"/>
              <w:rPr/>
            </w:pPr>
            <w:r>
              <w:rPr/>
              <w:t> </w:t>
            </w:r>
          </w:p>
        </w:tc>
        <w:tc>
          <w:tcPr>
            <w:tcW w:w="100" w:type="dxa"/>
            <w:tcBorders/>
            <w:vAlign w:val="center"/>
          </w:tcPr>
          <w:p>
            <w:pPr>
              <w:pStyle w:val="TableContents"/>
              <w:bidi w:val="0"/>
              <w:spacing w:before="0" w:after="283"/>
              <w:jc w:val="right"/>
              <w:rPr/>
            </w:pPr>
            <w:r>
              <w:rPr/>
              <w:t> </w:t>
            </w:r>
          </w:p>
        </w:tc>
        <w:tc>
          <w:tcPr>
            <w:tcW w:w="100" w:type="dxa"/>
            <w:tcBorders/>
            <w:vAlign w:val="center"/>
          </w:tcPr>
          <w:p>
            <w:pPr>
              <w:pStyle w:val="TableContents"/>
              <w:bidi w:val="0"/>
              <w:spacing w:before="0" w:after="283"/>
              <w:jc w:val="right"/>
              <w:rPr/>
            </w:pPr>
            <w:r>
              <w:rPr/>
              <w:t> </w:t>
            </w:r>
          </w:p>
        </w:tc>
        <w:tc>
          <w:tcPr>
            <w:tcW w:w="209" w:type="dxa"/>
            <w:tcBorders/>
            <w:vAlign w:val="center"/>
          </w:tcPr>
          <w:p>
            <w:pPr>
              <w:pStyle w:val="TableContents"/>
              <w:bidi w:val="0"/>
              <w:spacing w:before="0" w:after="283"/>
              <w:jc w:val="right"/>
              <w:rPr/>
            </w:pPr>
            <w:r>
              <w:rPr/>
              <w:t> </w:t>
            </w:r>
          </w:p>
        </w:tc>
        <w:tc>
          <w:tcPr>
            <w:tcW w:w="1594"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right"/>
              <w:rPr/>
            </w:pPr>
            <w:r>
              <w:rPr/>
              <w:t> </w:t>
            </w:r>
            <w:bookmarkStart w:id="169" w:name="xdx_406_eus-gaap--EarningsPerShareBasic_"/>
            <w:bookmarkEnd w:id="169"/>
          </w:p>
        </w:tc>
      </w:tr>
      <w:tr>
        <w:trPr/>
        <w:tc>
          <w:tcPr>
            <w:tcW w:w="5315" w:type="dxa"/>
            <w:tcBorders/>
            <w:shd w:fill="CCEEFF" w:val="clear"/>
            <w:vAlign w:val="center"/>
          </w:tcPr>
          <w:p>
            <w:pPr>
              <w:pStyle w:val="TableContents"/>
              <w:bidi w:val="0"/>
              <w:spacing w:before="0" w:after="283"/>
              <w:jc w:val="left"/>
              <w:rPr>
                <w:sz w:val="20"/>
              </w:rPr>
            </w:pPr>
            <w:r>
              <w:rPr>
                <w:sz w:val="20"/>
              </w:rPr>
              <w:t xml:space="preserve">Net income per share-basic </w:t>
            </w:r>
          </w:p>
        </w:tc>
        <w:tc>
          <w:tcPr>
            <w:tcW w:w="60" w:type="dxa"/>
            <w:tcBorders/>
            <w:shd w:fill="CCEEFF" w:val="clear"/>
            <w:vAlign w:val="center"/>
          </w:tcPr>
          <w:p>
            <w:pPr>
              <w:pStyle w:val="TableContents"/>
              <w:bidi w:val="0"/>
              <w:spacing w:before="0" w:after="283"/>
              <w:jc w:val="left"/>
              <w:rPr/>
            </w:pPr>
            <w:r>
              <w:rPr/>
              <w:t> </w:t>
            </w:r>
          </w:p>
        </w:tc>
        <w:tc>
          <w:tcPr>
            <w:tcW w:w="209"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w:t>
            </w:r>
          </w:p>
        </w:tc>
        <w:tc>
          <w:tcPr>
            <w:tcW w:w="1594"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0.03</w:t>
            </w:r>
          </w:p>
        </w:tc>
        <w:tc>
          <w:tcPr>
            <w:tcW w:w="100"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jc w:val="right"/>
              <w:rPr/>
            </w:pPr>
            <w:r>
              <w:rPr/>
              <w:t> </w:t>
            </w:r>
          </w:p>
        </w:tc>
        <w:tc>
          <w:tcPr>
            <w:tcW w:w="209"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w:t>
            </w:r>
          </w:p>
        </w:tc>
        <w:tc>
          <w:tcPr>
            <w:tcW w:w="1594"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0.07</w:t>
            </w:r>
          </w:p>
        </w:tc>
        <w:tc>
          <w:tcPr>
            <w:tcW w:w="125" w:type="dxa"/>
            <w:tcBorders/>
            <w:shd w:fill="CCEEFF" w:val="clear"/>
            <w:vAlign w:val="center"/>
          </w:tcPr>
          <w:p>
            <w:pPr>
              <w:pStyle w:val="TableContents"/>
              <w:bidi w:val="0"/>
              <w:spacing w:before="0" w:after="283"/>
              <w:jc w:val="right"/>
              <w:rPr/>
            </w:pPr>
            <w:r>
              <w:rPr/>
              <w:t> </w:t>
            </w:r>
          </w:p>
        </w:tc>
      </w:tr>
      <w:tr>
        <w:trPr/>
        <w:tc>
          <w:tcPr>
            <w:tcW w:w="53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right"/>
              <w:rPr/>
            </w:pPr>
            <w:r>
              <w:rPr/>
              <w:t> </w:t>
            </w:r>
          </w:p>
        </w:tc>
        <w:tc>
          <w:tcPr>
            <w:tcW w:w="1594" w:type="dxa"/>
            <w:tcBorders/>
            <w:vAlign w:val="center"/>
          </w:tcPr>
          <w:p>
            <w:pPr>
              <w:pStyle w:val="TableContents"/>
              <w:bidi w:val="0"/>
              <w:spacing w:before="0" w:after="283"/>
              <w:jc w:val="right"/>
              <w:rPr/>
            </w:pPr>
            <w:r>
              <w:rPr/>
              <w:t> </w:t>
            </w:r>
          </w:p>
        </w:tc>
        <w:tc>
          <w:tcPr>
            <w:tcW w:w="100" w:type="dxa"/>
            <w:tcBorders/>
            <w:vAlign w:val="center"/>
          </w:tcPr>
          <w:p>
            <w:pPr>
              <w:pStyle w:val="TableContents"/>
              <w:bidi w:val="0"/>
              <w:spacing w:before="0" w:after="283"/>
              <w:jc w:val="right"/>
              <w:rPr/>
            </w:pPr>
            <w:r>
              <w:rPr/>
              <w:t> </w:t>
            </w:r>
          </w:p>
        </w:tc>
        <w:tc>
          <w:tcPr>
            <w:tcW w:w="100" w:type="dxa"/>
            <w:tcBorders/>
            <w:vAlign w:val="center"/>
          </w:tcPr>
          <w:p>
            <w:pPr>
              <w:pStyle w:val="TableContents"/>
              <w:bidi w:val="0"/>
              <w:spacing w:before="0" w:after="283"/>
              <w:jc w:val="right"/>
              <w:rPr/>
            </w:pPr>
            <w:r>
              <w:rPr/>
              <w:t> </w:t>
            </w:r>
          </w:p>
        </w:tc>
        <w:tc>
          <w:tcPr>
            <w:tcW w:w="209" w:type="dxa"/>
            <w:tcBorders/>
            <w:vAlign w:val="center"/>
          </w:tcPr>
          <w:p>
            <w:pPr>
              <w:pStyle w:val="TableContents"/>
              <w:bidi w:val="0"/>
              <w:spacing w:before="0" w:after="283"/>
              <w:jc w:val="right"/>
              <w:rPr/>
            </w:pPr>
            <w:r>
              <w:rPr/>
              <w:t> </w:t>
            </w:r>
          </w:p>
        </w:tc>
        <w:tc>
          <w:tcPr>
            <w:tcW w:w="1594"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right"/>
              <w:rPr/>
            </w:pPr>
            <w:r>
              <w:rPr/>
              <w:t> </w:t>
            </w:r>
            <w:bookmarkStart w:id="170" w:name="xdx_40B_eus-gaap--WeightedAverageNumberO"/>
            <w:bookmarkEnd w:id="170"/>
          </w:p>
        </w:tc>
      </w:tr>
      <w:tr>
        <w:trPr/>
        <w:tc>
          <w:tcPr>
            <w:tcW w:w="5315" w:type="dxa"/>
            <w:tcBorders/>
            <w:shd w:fill="CCEEFF" w:val="clear"/>
            <w:vAlign w:val="center"/>
          </w:tcPr>
          <w:p>
            <w:pPr>
              <w:pStyle w:val="TableContents"/>
              <w:bidi w:val="0"/>
              <w:spacing w:before="0" w:after="283"/>
              <w:jc w:val="left"/>
              <w:rPr>
                <w:sz w:val="20"/>
              </w:rPr>
            </w:pPr>
            <w:r>
              <w:rPr>
                <w:sz w:val="20"/>
              </w:rPr>
              <w:t>Weighted average number of basic common shares outstanding</w:t>
            </w:r>
          </w:p>
        </w:tc>
        <w:tc>
          <w:tcPr>
            <w:tcW w:w="60" w:type="dxa"/>
            <w:tcBorders/>
            <w:shd w:fill="CCEEFF" w:val="clear"/>
            <w:vAlign w:val="center"/>
          </w:tcPr>
          <w:p>
            <w:pPr>
              <w:pStyle w:val="TableContents"/>
              <w:bidi w:val="0"/>
              <w:spacing w:before="0" w:after="283"/>
              <w:jc w:val="left"/>
              <w:rPr/>
            </w:pPr>
            <w:r>
              <w:rPr/>
              <w:t> </w:t>
            </w:r>
          </w:p>
        </w:tc>
        <w:tc>
          <w:tcPr>
            <w:tcW w:w="209" w:type="dxa"/>
            <w:tcBorders>
              <w:bottom w:val="double" w:sz="6" w:space="0" w:color="000000"/>
            </w:tcBorders>
            <w:shd w:fill="CCEEFF" w:val="clear"/>
            <w:tcMar>
              <w:bottom w:w="28" w:type="dxa"/>
            </w:tcMar>
            <w:vAlign w:val="center"/>
          </w:tcPr>
          <w:p>
            <w:pPr>
              <w:pStyle w:val="TableContents"/>
              <w:bidi w:val="0"/>
              <w:spacing w:before="0" w:after="283"/>
              <w:jc w:val="right"/>
              <w:rPr/>
            </w:pPr>
            <w:r>
              <w:rPr/>
              <w:t> </w:t>
            </w:r>
          </w:p>
        </w:tc>
        <w:tc>
          <w:tcPr>
            <w:tcW w:w="1594"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70,344,152</w:t>
            </w:r>
          </w:p>
        </w:tc>
        <w:tc>
          <w:tcPr>
            <w:tcW w:w="100"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jc w:val="right"/>
              <w:rPr/>
            </w:pPr>
            <w:r>
              <w:rPr/>
              <w:t> </w:t>
            </w:r>
          </w:p>
        </w:tc>
        <w:tc>
          <w:tcPr>
            <w:tcW w:w="209" w:type="dxa"/>
            <w:tcBorders>
              <w:bottom w:val="double" w:sz="6" w:space="0" w:color="000000"/>
            </w:tcBorders>
            <w:shd w:fill="CCEEFF" w:val="clear"/>
            <w:tcMar>
              <w:bottom w:w="28" w:type="dxa"/>
            </w:tcMar>
            <w:vAlign w:val="center"/>
          </w:tcPr>
          <w:p>
            <w:pPr>
              <w:pStyle w:val="TableContents"/>
              <w:bidi w:val="0"/>
              <w:spacing w:before="0" w:after="283"/>
              <w:jc w:val="right"/>
              <w:rPr/>
            </w:pPr>
            <w:r>
              <w:rPr/>
              <w:t> </w:t>
            </w:r>
          </w:p>
        </w:tc>
        <w:tc>
          <w:tcPr>
            <w:tcW w:w="1594"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62,350,459</w:t>
            </w:r>
          </w:p>
        </w:tc>
        <w:tc>
          <w:tcPr>
            <w:tcW w:w="125" w:type="dxa"/>
            <w:tcBorders/>
            <w:shd w:fill="CCEEFF" w:val="clear"/>
            <w:vAlign w:val="center"/>
          </w:tcPr>
          <w:p>
            <w:pPr>
              <w:pStyle w:val="TableContents"/>
              <w:bidi w:val="0"/>
              <w:spacing w:before="0" w:after="283"/>
              <w:jc w:val="right"/>
              <w:rPr/>
            </w:pPr>
            <w:r>
              <w:rPr/>
              <w:t> </w:t>
            </w:r>
          </w:p>
        </w:tc>
      </w:tr>
      <w:tr>
        <w:trPr/>
        <w:tc>
          <w:tcPr>
            <w:tcW w:w="53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right"/>
              <w:rPr/>
            </w:pPr>
            <w:r>
              <w:rPr/>
              <w:t> </w:t>
            </w:r>
          </w:p>
        </w:tc>
        <w:tc>
          <w:tcPr>
            <w:tcW w:w="1594" w:type="dxa"/>
            <w:tcBorders/>
            <w:vAlign w:val="center"/>
          </w:tcPr>
          <w:p>
            <w:pPr>
              <w:pStyle w:val="TableContents"/>
              <w:bidi w:val="0"/>
              <w:spacing w:before="0" w:after="283"/>
              <w:jc w:val="right"/>
              <w:rPr/>
            </w:pPr>
            <w:r>
              <w:rPr/>
              <w:t> </w:t>
            </w:r>
          </w:p>
        </w:tc>
        <w:tc>
          <w:tcPr>
            <w:tcW w:w="100" w:type="dxa"/>
            <w:tcBorders/>
            <w:vAlign w:val="center"/>
          </w:tcPr>
          <w:p>
            <w:pPr>
              <w:pStyle w:val="TableContents"/>
              <w:bidi w:val="0"/>
              <w:spacing w:before="0" w:after="283"/>
              <w:jc w:val="right"/>
              <w:rPr/>
            </w:pPr>
            <w:r>
              <w:rPr/>
              <w:t> </w:t>
            </w:r>
          </w:p>
        </w:tc>
        <w:tc>
          <w:tcPr>
            <w:tcW w:w="100" w:type="dxa"/>
            <w:tcBorders/>
            <w:vAlign w:val="center"/>
          </w:tcPr>
          <w:p>
            <w:pPr>
              <w:pStyle w:val="TableContents"/>
              <w:bidi w:val="0"/>
              <w:spacing w:before="0" w:after="283"/>
              <w:jc w:val="right"/>
              <w:rPr/>
            </w:pPr>
            <w:r>
              <w:rPr/>
              <w:t> </w:t>
            </w:r>
          </w:p>
        </w:tc>
        <w:tc>
          <w:tcPr>
            <w:tcW w:w="209" w:type="dxa"/>
            <w:tcBorders/>
            <w:vAlign w:val="center"/>
          </w:tcPr>
          <w:p>
            <w:pPr>
              <w:pStyle w:val="TableContents"/>
              <w:bidi w:val="0"/>
              <w:spacing w:before="0" w:after="283"/>
              <w:jc w:val="right"/>
              <w:rPr/>
            </w:pPr>
            <w:r>
              <w:rPr/>
              <w:t> </w:t>
            </w:r>
          </w:p>
        </w:tc>
        <w:tc>
          <w:tcPr>
            <w:tcW w:w="1594"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right"/>
              <w:rPr/>
            </w:pPr>
            <w:r>
              <w:rPr/>
              <w:t> </w:t>
            </w:r>
            <w:bookmarkStart w:id="171" w:name="xdx_40E_eus-gaap--EarningsPerShareDilute"/>
            <w:bookmarkEnd w:id="171"/>
          </w:p>
        </w:tc>
      </w:tr>
      <w:tr>
        <w:trPr/>
        <w:tc>
          <w:tcPr>
            <w:tcW w:w="5315" w:type="dxa"/>
            <w:tcBorders/>
            <w:shd w:fill="CCEEFF" w:val="clear"/>
            <w:vAlign w:val="center"/>
          </w:tcPr>
          <w:p>
            <w:pPr>
              <w:pStyle w:val="TableContents"/>
              <w:bidi w:val="0"/>
              <w:spacing w:before="0" w:after="283"/>
              <w:jc w:val="left"/>
              <w:rPr>
                <w:sz w:val="20"/>
              </w:rPr>
            </w:pPr>
            <w:r>
              <w:rPr>
                <w:sz w:val="20"/>
              </w:rPr>
              <w:t>Net income per share-diluted</w:t>
            </w:r>
          </w:p>
        </w:tc>
        <w:tc>
          <w:tcPr>
            <w:tcW w:w="60" w:type="dxa"/>
            <w:tcBorders/>
            <w:shd w:fill="CCEEFF" w:val="clear"/>
            <w:vAlign w:val="center"/>
          </w:tcPr>
          <w:p>
            <w:pPr>
              <w:pStyle w:val="TableContents"/>
              <w:bidi w:val="0"/>
              <w:spacing w:before="0" w:after="283"/>
              <w:jc w:val="left"/>
              <w:rPr/>
            </w:pPr>
            <w:r>
              <w:rPr/>
              <w:t> </w:t>
            </w:r>
          </w:p>
        </w:tc>
        <w:tc>
          <w:tcPr>
            <w:tcW w:w="209"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w:t>
            </w:r>
          </w:p>
        </w:tc>
        <w:tc>
          <w:tcPr>
            <w:tcW w:w="1594"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0.02</w:t>
            </w:r>
          </w:p>
        </w:tc>
        <w:tc>
          <w:tcPr>
            <w:tcW w:w="100"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jc w:val="right"/>
              <w:rPr/>
            </w:pPr>
            <w:r>
              <w:rPr/>
              <w:t> </w:t>
            </w:r>
          </w:p>
        </w:tc>
        <w:tc>
          <w:tcPr>
            <w:tcW w:w="209"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w:t>
            </w:r>
          </w:p>
        </w:tc>
        <w:tc>
          <w:tcPr>
            <w:tcW w:w="1594"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0.07</w:t>
            </w:r>
          </w:p>
        </w:tc>
        <w:tc>
          <w:tcPr>
            <w:tcW w:w="125" w:type="dxa"/>
            <w:tcBorders/>
            <w:shd w:fill="CCEEFF" w:val="clear"/>
            <w:vAlign w:val="center"/>
          </w:tcPr>
          <w:p>
            <w:pPr>
              <w:pStyle w:val="TableContents"/>
              <w:bidi w:val="0"/>
              <w:spacing w:before="0" w:after="283"/>
              <w:jc w:val="right"/>
              <w:rPr/>
            </w:pPr>
            <w:r>
              <w:rPr/>
              <w:t> </w:t>
            </w:r>
          </w:p>
        </w:tc>
      </w:tr>
      <w:tr>
        <w:trPr/>
        <w:tc>
          <w:tcPr>
            <w:tcW w:w="53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right"/>
              <w:rPr/>
            </w:pPr>
            <w:r>
              <w:rPr/>
              <w:t> </w:t>
            </w:r>
          </w:p>
        </w:tc>
        <w:tc>
          <w:tcPr>
            <w:tcW w:w="1594" w:type="dxa"/>
            <w:tcBorders/>
            <w:vAlign w:val="center"/>
          </w:tcPr>
          <w:p>
            <w:pPr>
              <w:pStyle w:val="TableContents"/>
              <w:bidi w:val="0"/>
              <w:spacing w:before="0" w:after="283"/>
              <w:jc w:val="right"/>
              <w:rPr/>
            </w:pPr>
            <w:r>
              <w:rPr/>
              <w:t> </w:t>
            </w:r>
          </w:p>
        </w:tc>
        <w:tc>
          <w:tcPr>
            <w:tcW w:w="100" w:type="dxa"/>
            <w:tcBorders/>
            <w:vAlign w:val="center"/>
          </w:tcPr>
          <w:p>
            <w:pPr>
              <w:pStyle w:val="TableContents"/>
              <w:bidi w:val="0"/>
              <w:spacing w:before="0" w:after="283"/>
              <w:jc w:val="right"/>
              <w:rPr/>
            </w:pPr>
            <w:r>
              <w:rPr/>
              <w:t> </w:t>
            </w:r>
          </w:p>
        </w:tc>
        <w:tc>
          <w:tcPr>
            <w:tcW w:w="100" w:type="dxa"/>
            <w:tcBorders/>
            <w:vAlign w:val="center"/>
          </w:tcPr>
          <w:p>
            <w:pPr>
              <w:pStyle w:val="TableContents"/>
              <w:bidi w:val="0"/>
              <w:spacing w:before="0" w:after="283"/>
              <w:jc w:val="right"/>
              <w:rPr/>
            </w:pPr>
            <w:r>
              <w:rPr/>
              <w:t> </w:t>
            </w:r>
          </w:p>
        </w:tc>
        <w:tc>
          <w:tcPr>
            <w:tcW w:w="209" w:type="dxa"/>
            <w:tcBorders/>
            <w:vAlign w:val="center"/>
          </w:tcPr>
          <w:p>
            <w:pPr>
              <w:pStyle w:val="TableContents"/>
              <w:bidi w:val="0"/>
              <w:spacing w:before="0" w:after="283"/>
              <w:jc w:val="right"/>
              <w:rPr/>
            </w:pPr>
            <w:r>
              <w:rPr/>
              <w:t> </w:t>
            </w:r>
          </w:p>
        </w:tc>
        <w:tc>
          <w:tcPr>
            <w:tcW w:w="1594"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right"/>
              <w:rPr/>
            </w:pPr>
            <w:r>
              <w:rPr/>
              <w:t> </w:t>
            </w:r>
            <w:bookmarkStart w:id="172" w:name="xdx_400_eus-gaap--WeightedAverageNumberO"/>
            <w:bookmarkEnd w:id="172"/>
          </w:p>
        </w:tc>
      </w:tr>
      <w:tr>
        <w:trPr/>
        <w:tc>
          <w:tcPr>
            <w:tcW w:w="5315" w:type="dxa"/>
            <w:tcBorders/>
            <w:shd w:fill="CCEEFF" w:val="clear"/>
            <w:vAlign w:val="center"/>
          </w:tcPr>
          <w:p>
            <w:pPr>
              <w:pStyle w:val="TableContents"/>
              <w:bidi w:val="0"/>
              <w:spacing w:before="0" w:after="283"/>
              <w:jc w:val="left"/>
              <w:rPr>
                <w:sz w:val="20"/>
              </w:rPr>
            </w:pPr>
            <w:r>
              <w:rPr>
                <w:sz w:val="20"/>
              </w:rPr>
              <w:t>Weighted average number of diluted common shares outstanding</w:t>
            </w:r>
          </w:p>
        </w:tc>
        <w:tc>
          <w:tcPr>
            <w:tcW w:w="60" w:type="dxa"/>
            <w:tcBorders/>
            <w:shd w:fill="CCEEFF" w:val="clear"/>
            <w:vAlign w:val="center"/>
          </w:tcPr>
          <w:p>
            <w:pPr>
              <w:pStyle w:val="TableContents"/>
              <w:bidi w:val="0"/>
              <w:spacing w:before="0" w:after="283"/>
              <w:jc w:val="left"/>
              <w:rPr/>
            </w:pPr>
            <w:r>
              <w:rPr/>
              <w:t> </w:t>
            </w:r>
          </w:p>
        </w:tc>
        <w:tc>
          <w:tcPr>
            <w:tcW w:w="209" w:type="dxa"/>
            <w:tcBorders>
              <w:bottom w:val="double" w:sz="6" w:space="0" w:color="000000"/>
            </w:tcBorders>
            <w:shd w:fill="CCEEFF" w:val="clear"/>
            <w:tcMar>
              <w:bottom w:w="28" w:type="dxa"/>
            </w:tcMar>
            <w:vAlign w:val="center"/>
          </w:tcPr>
          <w:p>
            <w:pPr>
              <w:pStyle w:val="TableContents"/>
              <w:bidi w:val="0"/>
              <w:spacing w:before="0" w:after="283"/>
              <w:jc w:val="right"/>
              <w:rPr/>
            </w:pPr>
            <w:r>
              <w:rPr/>
              <w:t> </w:t>
            </w:r>
          </w:p>
        </w:tc>
        <w:tc>
          <w:tcPr>
            <w:tcW w:w="1594"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72,579,715</w:t>
            </w:r>
          </w:p>
        </w:tc>
        <w:tc>
          <w:tcPr>
            <w:tcW w:w="100"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jc w:val="right"/>
              <w:rPr/>
            </w:pPr>
            <w:r>
              <w:rPr/>
              <w:t> </w:t>
            </w:r>
          </w:p>
        </w:tc>
        <w:tc>
          <w:tcPr>
            <w:tcW w:w="209" w:type="dxa"/>
            <w:tcBorders>
              <w:bottom w:val="double" w:sz="6" w:space="0" w:color="000000"/>
            </w:tcBorders>
            <w:shd w:fill="CCEEFF" w:val="clear"/>
            <w:tcMar>
              <w:bottom w:w="28" w:type="dxa"/>
            </w:tcMar>
            <w:vAlign w:val="center"/>
          </w:tcPr>
          <w:p>
            <w:pPr>
              <w:pStyle w:val="TableContents"/>
              <w:bidi w:val="0"/>
              <w:spacing w:before="0" w:after="283"/>
              <w:jc w:val="right"/>
              <w:rPr/>
            </w:pPr>
            <w:r>
              <w:rPr/>
              <w:t> </w:t>
            </w:r>
          </w:p>
        </w:tc>
        <w:tc>
          <w:tcPr>
            <w:tcW w:w="1594"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65,028,815</w:t>
            </w:r>
          </w:p>
        </w:tc>
        <w:tc>
          <w:tcPr>
            <w:tcW w:w="125" w:type="dxa"/>
            <w:tcBorders/>
            <w:shd w:fill="CCEEFF" w:val="clear"/>
            <w:vAlign w:val="center"/>
          </w:tcPr>
          <w:p>
            <w:pPr>
              <w:pStyle w:val="TableContents"/>
              <w:bidi w:val="0"/>
              <w:spacing w:before="0" w:after="283"/>
              <w:jc w:val="right"/>
              <w:rPr/>
            </w:pPr>
            <w:r>
              <w:rPr/>
              <w:t> </w:t>
            </w:r>
          </w:p>
        </w:tc>
      </w:tr>
    </w:tbl>
    <w:p>
      <w:pPr>
        <w:pStyle w:val="TextBody"/>
        <w:bidi w:val="0"/>
        <w:spacing w:before="0" w:after="0"/>
        <w:ind w:left="44" w:right="44" w:hanging="0"/>
        <w:jc w:val="center"/>
        <w:rPr>
          <w:caps w:val="false"/>
          <w:smallCaps w:val="false"/>
        </w:rPr>
      </w:pPr>
      <w:r>
        <w:rPr>
          <w:caps w:val="false"/>
          <w:smallCaps w:val="false"/>
        </w:rPr>
        <w:t> </w:t>
      </w:r>
    </w:p>
    <w:p>
      <w:pPr>
        <w:pStyle w:val="TextBody"/>
        <w:bidi w:val="0"/>
        <w:spacing w:before="0" w:after="0"/>
        <w:ind w:left="44" w:right="44"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(See accompanying Notes to Consolidated Financial Statements)</w:t>
      </w:r>
    </w:p>
    <w:p>
      <w:pPr>
        <w:pStyle w:val="TextBody"/>
        <w:bidi w:val="0"/>
        <w:spacing w:before="0" w:after="0"/>
        <w:ind w:left="44" w:right="44"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F-5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SOLÉSENCE,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73" w:name="solesence10kb004"/>
      <w:bookmarkEnd w:id="173"/>
      <w:r>
        <w:rPr>
          <w:rFonts w:ascii="Times New Roman;Times;Serif" w:hAnsi="Times New Roman;Times;Serif"/>
          <w:b/>
          <w:i w:val="false"/>
          <w:caps w:val="false"/>
          <w:smallCaps w:val="false"/>
          <w:sz w:val="20"/>
        </w:rPr>
        <w:t>CONSOLIDATED STATEMENTS OF STOCKHOLDERS’ EQUITY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data)</w:t>
      </w:r>
    </w:p>
    <w:p>
      <w:pPr>
        <w:pStyle w:val="Normal"/>
        <w:bidi w:val="0"/>
        <w:spacing w:before="0" w:after="0"/>
        <w:ind w:left="0" w:right="0" w:hanging="0"/>
        <w:jc w:val="left"/>
        <w:rPr>
          <w:sz w:val="4"/>
          <w:szCs w:val="4"/>
        </w:rPr>
      </w:pPr>
      <w:r>
        <w:rPr>
          <w:sz w:val="4"/>
          <w:szCs w:val="4"/>
        </w:rPr>
      </w:r>
      <w:bookmarkStart w:id="174" w:name="xdx_30C_114_pn3n3_zhpBJF7BG6v5"/>
      <w:bookmarkStart w:id="175" w:name="xdx_30C_114_pn3n3_zhpBJF7BG6v5"/>
      <w:bookmarkEnd w:id="175"/>
    </w:p>
    <w:tbl>
      <w:tblPr>
        <w:tblW w:w="10205" w:type="dxa"/>
        <w:jc w:val="left"/>
        <w:tblInd w:w="0" w:type="dxa"/>
        <w:tblLayout w:type="fixed"/>
        <w:tblCellMar>
          <w:top w:w="0" w:type="dxa"/>
          <w:left w:w="0" w:type="dxa"/>
          <w:bottom w:w="0" w:type="dxa"/>
          <w:right w:w="0" w:type="dxa"/>
        </w:tblCellMar>
      </w:tblPr>
      <w:tblGrid>
        <w:gridCol w:w="3467"/>
        <w:gridCol w:w="60"/>
        <w:gridCol w:w="700"/>
        <w:gridCol w:w="71"/>
        <w:gridCol w:w="71"/>
        <w:gridCol w:w="225"/>
        <w:gridCol w:w="470"/>
        <w:gridCol w:w="60"/>
        <w:gridCol w:w="60"/>
        <w:gridCol w:w="950"/>
        <w:gridCol w:w="60"/>
        <w:gridCol w:w="60"/>
        <w:gridCol w:w="188"/>
        <w:gridCol w:w="507"/>
        <w:gridCol w:w="60"/>
        <w:gridCol w:w="60"/>
        <w:gridCol w:w="144"/>
        <w:gridCol w:w="809"/>
        <w:gridCol w:w="60"/>
        <w:gridCol w:w="60"/>
        <w:gridCol w:w="160"/>
        <w:gridCol w:w="970"/>
        <w:gridCol w:w="80"/>
        <w:gridCol w:w="60"/>
        <w:gridCol w:w="125"/>
        <w:gridCol w:w="590"/>
        <w:gridCol w:w="78"/>
      </w:tblGrid>
      <w:tr>
        <w:trPr/>
        <w:tc>
          <w:tcPr>
            <w:tcW w:w="3467"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700" w:type="dxa"/>
            <w:tcBorders/>
            <w:vAlign w:val="center"/>
          </w:tcPr>
          <w:p>
            <w:pPr>
              <w:pStyle w:val="TableContents"/>
              <w:bidi w:val="0"/>
              <w:spacing w:before="0" w:after="283"/>
              <w:jc w:val="center"/>
              <w:rPr/>
            </w:pPr>
            <w:r>
              <w:rPr/>
              <w:t> </w:t>
            </w:r>
          </w:p>
        </w:tc>
        <w:tc>
          <w:tcPr>
            <w:tcW w:w="71" w:type="dxa"/>
            <w:tcBorders/>
            <w:vAlign w:val="center"/>
          </w:tcPr>
          <w:p>
            <w:pPr>
              <w:pStyle w:val="TableContents"/>
              <w:bidi w:val="0"/>
              <w:spacing w:before="0" w:after="283"/>
              <w:jc w:val="center"/>
              <w:rPr/>
            </w:pPr>
            <w:r>
              <w:rPr/>
              <w:t> </w:t>
            </w:r>
          </w:p>
        </w:tc>
        <w:tc>
          <w:tcPr>
            <w:tcW w:w="71" w:type="dxa"/>
            <w:tcBorders/>
            <w:vAlign w:val="center"/>
          </w:tcPr>
          <w:p>
            <w:pPr>
              <w:pStyle w:val="TableContents"/>
              <w:bidi w:val="0"/>
              <w:spacing w:before="0" w:after="283"/>
              <w:jc w:val="center"/>
              <w:rPr/>
            </w:pPr>
            <w:r>
              <w:rPr/>
              <w:t> </w:t>
            </w:r>
          </w:p>
        </w:tc>
        <w:tc>
          <w:tcPr>
            <w:tcW w:w="225" w:type="dxa"/>
            <w:tcBorders/>
            <w:vAlign w:val="center"/>
          </w:tcPr>
          <w:p>
            <w:pPr>
              <w:pStyle w:val="TableContents"/>
              <w:bidi w:val="0"/>
              <w:spacing w:before="0" w:after="283"/>
              <w:jc w:val="left"/>
              <w:rPr/>
            </w:pPr>
            <w:r>
              <w:rPr/>
              <w:t> </w:t>
            </w:r>
            <w:bookmarkStart w:id="176" w:name="xdx_4B5_us-gaap--StatementEquityComponen"/>
            <w:bookmarkEnd w:id="176"/>
          </w:p>
        </w:tc>
        <w:tc>
          <w:tcPr>
            <w:tcW w:w="4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88" w:type="dxa"/>
            <w:tcBorders/>
            <w:vAlign w:val="center"/>
          </w:tcPr>
          <w:p>
            <w:pPr>
              <w:pStyle w:val="TableContents"/>
              <w:bidi w:val="0"/>
              <w:spacing w:before="0" w:after="283"/>
              <w:jc w:val="left"/>
              <w:rPr/>
            </w:pPr>
            <w:r>
              <w:rPr/>
              <w:t> </w:t>
            </w:r>
            <w:bookmarkStart w:id="177" w:name="xdx_4B9_us-gaap--StatementEquityComponen"/>
            <w:bookmarkEnd w:id="177"/>
          </w:p>
        </w:tc>
        <w:tc>
          <w:tcPr>
            <w:tcW w:w="50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78" w:name="xdx_4BC_us-gaap--StatementEquityComponen"/>
            <w:bookmarkEnd w:id="178"/>
          </w:p>
        </w:tc>
        <w:tc>
          <w:tcPr>
            <w:tcW w:w="953"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79" w:name="xdx_4BD_us-gaap--StatementEquityComponen"/>
            <w:bookmarkEnd w:id="179"/>
          </w:p>
        </w:tc>
        <w:tc>
          <w:tcPr>
            <w:tcW w:w="1130"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80" w:name="xdx_4B5_zAyvqBB8dE8e"/>
            <w:bookmarkEnd w:id="180"/>
          </w:p>
        </w:tc>
        <w:tc>
          <w:tcPr>
            <w:tcW w:w="715" w:type="dxa"/>
            <w:gridSpan w:val="2"/>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ind w:left="0" w:right="0" w:hanging="180"/>
              <w:jc w:val="left"/>
              <w:rPr/>
            </w:pPr>
            <w:r>
              <w:rPr/>
              <w:t> </w:t>
            </w:r>
          </w:p>
        </w:tc>
      </w:tr>
      <w:tr>
        <w:trPr/>
        <w:tc>
          <w:tcPr>
            <w:tcW w:w="346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7" w:type="dxa"/>
            <w:gridSpan w:val="5"/>
            <w:tcBorders>
              <w:bottom w:val="single" w:sz="8" w:space="0" w:color="000000"/>
            </w:tcBorders>
            <w:tcMar>
              <w:bottom w:w="28" w:type="dxa"/>
            </w:tcMar>
            <w:vAlign w:val="center"/>
          </w:tcPr>
          <w:p>
            <w:pPr>
              <w:pStyle w:val="TableContents"/>
              <w:bidi w:val="0"/>
              <w:spacing w:before="0" w:after="283"/>
              <w:jc w:val="center"/>
              <w:rPr>
                <w:b/>
                <w:sz w:val="20"/>
              </w:rPr>
            </w:pPr>
            <w:r>
              <w:rPr>
                <w:b/>
                <w:sz w:val="20"/>
              </w:rPr>
              <w:t>Preferred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65" w:type="dxa"/>
            <w:gridSpan w:val="5"/>
            <w:tcBorders>
              <w:bottom w:val="single" w:sz="8" w:space="0" w:color="000000"/>
            </w:tcBorders>
            <w:tcMar>
              <w:bottom w:w="28" w:type="dxa"/>
            </w:tcMar>
            <w:vAlign w:val="center"/>
          </w:tcPr>
          <w:p>
            <w:pPr>
              <w:pStyle w:val="TableContents"/>
              <w:bidi w:val="0"/>
              <w:spacing w:before="0" w:after="283"/>
              <w:jc w:val="center"/>
              <w:rPr>
                <w:b/>
                <w:sz w:val="20"/>
              </w:rPr>
            </w:pPr>
            <w:r>
              <w:rPr>
                <w:b/>
                <w:sz w:val="20"/>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3" w:type="dxa"/>
            <w:gridSpan w:val="2"/>
            <w:tcBorders/>
            <w:vAlign w:val="center"/>
          </w:tcPr>
          <w:p>
            <w:pPr>
              <w:pStyle w:val="TableContents"/>
              <w:bidi w:val="0"/>
              <w:spacing w:before="0" w:after="283"/>
              <w:jc w:val="center"/>
              <w:rPr/>
            </w:pPr>
            <w:r>
              <w:rPr>
                <w:b/>
                <w:sz w:val="20"/>
              </w:rPr>
              <w:t xml:space="preserve">Additional </w:t>
            </w:r>
            <w:r>
              <w:rPr/>
              <w:br/>
            </w:r>
            <w:r>
              <w:rPr>
                <w:b/>
                <w:sz w:val="20"/>
              </w:rPr>
              <w:t>Paid-in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center"/>
              <w:rPr>
                <w:b/>
                <w:sz w:val="20"/>
              </w:rPr>
            </w:pPr>
            <w:r>
              <w:rPr>
                <w:b/>
                <w:sz w:val="20"/>
              </w:rPr>
              <w:t>Accumulated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5" w:type="dxa"/>
            <w:gridSpan w:val="2"/>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ind w:left="0" w:right="0" w:hanging="180"/>
              <w:jc w:val="left"/>
              <w:rPr/>
            </w:pPr>
            <w:r>
              <w:rPr/>
              <w:t> </w:t>
            </w:r>
          </w:p>
        </w:tc>
      </w:tr>
      <w:tr>
        <w:trPr/>
        <w:tc>
          <w:tcPr>
            <w:tcW w:w="3467" w:type="dxa"/>
            <w:tcBorders>
              <w:bottom w:val="single" w:sz="8" w:space="0" w:color="000000"/>
            </w:tcBorders>
            <w:tcMar>
              <w:bottom w:w="28" w:type="dxa"/>
            </w:tcMar>
            <w:vAlign w:val="center"/>
          </w:tcPr>
          <w:p>
            <w:pPr>
              <w:pStyle w:val="TableContents"/>
              <w:bidi w:val="0"/>
              <w:spacing w:before="0" w:after="283"/>
              <w:jc w:val="left"/>
              <w:rPr>
                <w:b/>
                <w:sz w:val="20"/>
              </w:rPr>
            </w:pPr>
            <w:r>
              <w:rPr>
                <w:b/>
                <w:sz w:val="20"/>
              </w:rPr>
              <w:t>Description</w:t>
            </w:r>
          </w:p>
        </w:tc>
        <w:tc>
          <w:tcPr>
            <w:tcW w:w="60" w:type="dxa"/>
            <w:tcBorders/>
            <w:vAlign w:val="center"/>
          </w:tcPr>
          <w:p>
            <w:pPr>
              <w:pStyle w:val="TableContents"/>
              <w:bidi w:val="0"/>
              <w:spacing w:before="0" w:after="283"/>
              <w:jc w:val="left"/>
              <w:rPr/>
            </w:pPr>
            <w:r>
              <w:rPr/>
              <w:t> </w:t>
            </w:r>
          </w:p>
        </w:tc>
        <w:tc>
          <w:tcPr>
            <w:tcW w:w="700"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Shares</w:t>
            </w:r>
          </w:p>
        </w:tc>
        <w:tc>
          <w:tcPr>
            <w:tcW w:w="71"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69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3"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Deficit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Total</w:t>
            </w:r>
          </w:p>
        </w:tc>
        <w:tc>
          <w:tcPr>
            <w:tcW w:w="78" w:type="dxa"/>
            <w:tcBorders/>
            <w:vAlign w:val="center"/>
          </w:tcPr>
          <w:p>
            <w:pPr>
              <w:pStyle w:val="TableContents"/>
              <w:bidi w:val="0"/>
              <w:spacing w:before="0" w:after="283"/>
              <w:ind w:left="0" w:right="0" w:hanging="180"/>
              <w:jc w:val="left"/>
              <w:rPr/>
            </w:pPr>
            <w:r>
              <w:rPr/>
              <w:t> </w:t>
            </w:r>
            <w:bookmarkStart w:id="181" w:name="xdx_439_c20240101__20241231_eus-gaap--St"/>
            <w:bookmarkEnd w:id="181"/>
          </w:p>
        </w:tc>
      </w:tr>
      <w:tr>
        <w:trPr/>
        <w:tc>
          <w:tcPr>
            <w:tcW w:w="3467" w:type="dxa"/>
            <w:tcBorders/>
            <w:shd w:fill="CCEEFF" w:val="clear"/>
            <w:vAlign w:val="center"/>
          </w:tcPr>
          <w:p>
            <w:pPr>
              <w:pStyle w:val="TableContents"/>
              <w:bidi w:val="0"/>
              <w:spacing w:before="0" w:after="283"/>
              <w:jc w:val="left"/>
              <w:rPr>
                <w:sz w:val="20"/>
              </w:rPr>
            </w:pPr>
            <w:r>
              <w:rPr>
                <w:sz w:val="20"/>
              </w:rPr>
              <w:t>Balance on December 31, 2023</w:t>
            </w:r>
          </w:p>
        </w:tc>
        <w:tc>
          <w:tcPr>
            <w:tcW w:w="60" w:type="dxa"/>
            <w:tcBorders/>
            <w:shd w:fill="CCEEFF" w:val="clear"/>
            <w:vAlign w:val="center"/>
          </w:tcPr>
          <w:p>
            <w:pPr>
              <w:pStyle w:val="TableContents"/>
              <w:bidi w:val="0"/>
              <w:spacing w:before="0" w:after="283"/>
              <w:jc w:val="left"/>
              <w:rPr/>
            </w:pPr>
            <w:r>
              <w:rPr/>
              <w:t> </w:t>
            </w:r>
            <w:bookmarkStart w:id="182" w:name="xdx_982_eus-gaap--SharesOutstanding_iS_p"/>
            <w:bookmarkEnd w:id="182"/>
          </w:p>
        </w:tc>
        <w:tc>
          <w:tcPr>
            <w:tcW w:w="700" w:type="dxa"/>
            <w:tcBorders/>
            <w:shd w:fill="CCEEFF" w:val="clear"/>
            <w:vAlign w:val="center"/>
          </w:tcPr>
          <w:p>
            <w:pPr>
              <w:pStyle w:val="TableContents"/>
              <w:bidi w:val="0"/>
              <w:spacing w:before="0" w:after="283"/>
              <w:jc w:val="right"/>
              <w:rPr/>
            </w:pPr>
            <w:r>
              <w:rPr/>
              <w:t>—</w:t>
            </w:r>
          </w:p>
        </w:tc>
        <w:tc>
          <w:tcPr>
            <w:tcW w:w="71" w:type="dxa"/>
            <w:tcBorders/>
            <w:shd w:fill="CCEEFF" w:val="clear"/>
            <w:vAlign w:val="center"/>
          </w:tcPr>
          <w:p>
            <w:pPr>
              <w:pStyle w:val="TableContents"/>
              <w:bidi w:val="0"/>
              <w:spacing w:before="0" w:after="283"/>
              <w:jc w:val="right"/>
              <w:rPr/>
            </w:pPr>
            <w:r>
              <w:rPr/>
              <w:t> </w:t>
            </w:r>
          </w:p>
        </w:tc>
        <w:tc>
          <w:tcPr>
            <w:tcW w:w="71" w:type="dxa"/>
            <w:tcBorders/>
            <w:shd w:fill="CCEEFF" w:val="clear"/>
            <w:vAlign w:val="center"/>
          </w:tcPr>
          <w:p>
            <w:pPr>
              <w:pStyle w:val="TableContents"/>
              <w:bidi w:val="0"/>
              <w:spacing w:before="0" w:after="283"/>
              <w:jc w:val="right"/>
              <w:rPr/>
            </w:pPr>
            <w:r>
              <w:rPr/>
              <w:t> </w:t>
            </w:r>
          </w:p>
        </w:tc>
        <w:tc>
          <w:tcPr>
            <w:tcW w:w="225" w:type="dxa"/>
            <w:tcBorders/>
            <w:shd w:fill="CCEEFF" w:val="clear"/>
            <w:vAlign w:val="center"/>
          </w:tcPr>
          <w:p>
            <w:pPr>
              <w:pStyle w:val="TableContents"/>
              <w:bidi w:val="0"/>
              <w:spacing w:before="0" w:after="283"/>
              <w:jc w:val="left"/>
              <w:rPr>
                <w:sz w:val="20"/>
              </w:rPr>
            </w:pPr>
            <w:r>
              <w:rPr>
                <w:sz w:val="20"/>
              </w:rPr>
              <w:t>$</w:t>
            </w:r>
          </w:p>
        </w:tc>
        <w:tc>
          <w:tcPr>
            <w:tcW w:w="47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bookmarkStart w:id="183" w:name="xdx_983_eus-gaap--SharesOutstanding_iS_p"/>
            <w:bookmarkEnd w:id="183"/>
          </w:p>
        </w:tc>
        <w:tc>
          <w:tcPr>
            <w:tcW w:w="950" w:type="dxa"/>
            <w:tcBorders/>
            <w:shd w:fill="CCEEFF" w:val="clear"/>
            <w:vAlign w:val="center"/>
          </w:tcPr>
          <w:p>
            <w:pPr>
              <w:pStyle w:val="TableContents"/>
              <w:bidi w:val="0"/>
              <w:spacing w:before="0" w:after="283"/>
              <w:jc w:val="right"/>
              <w:rPr>
                <w:sz w:val="20"/>
              </w:rPr>
            </w:pPr>
            <w:r>
              <w:rPr>
                <w:sz w:val="20"/>
              </w:rPr>
              <w:t>49,627,254</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188" w:type="dxa"/>
            <w:tcBorders/>
            <w:shd w:fill="CCEEFF" w:val="clear"/>
            <w:vAlign w:val="center"/>
          </w:tcPr>
          <w:p>
            <w:pPr>
              <w:pStyle w:val="TableContents"/>
              <w:bidi w:val="0"/>
              <w:spacing w:before="0" w:after="283"/>
              <w:jc w:val="left"/>
              <w:rPr>
                <w:sz w:val="20"/>
              </w:rPr>
            </w:pPr>
            <w:r>
              <w:rPr>
                <w:sz w:val="20"/>
              </w:rPr>
              <w:t>$</w:t>
            </w:r>
          </w:p>
        </w:tc>
        <w:tc>
          <w:tcPr>
            <w:tcW w:w="507" w:type="dxa"/>
            <w:tcBorders/>
            <w:shd w:fill="CCEEFF" w:val="clear"/>
            <w:vAlign w:val="center"/>
          </w:tcPr>
          <w:p>
            <w:pPr>
              <w:pStyle w:val="TableContents"/>
              <w:bidi w:val="0"/>
              <w:spacing w:before="0" w:after="283"/>
              <w:jc w:val="right"/>
              <w:rPr>
                <w:sz w:val="20"/>
              </w:rPr>
            </w:pPr>
            <w:r>
              <w:rPr>
                <w:sz w:val="20"/>
              </w:rPr>
              <w:t>496</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144" w:type="dxa"/>
            <w:tcBorders/>
            <w:shd w:fill="CCEEFF" w:val="clear"/>
            <w:vAlign w:val="center"/>
          </w:tcPr>
          <w:p>
            <w:pPr>
              <w:pStyle w:val="TableContents"/>
              <w:bidi w:val="0"/>
              <w:spacing w:before="0" w:after="283"/>
              <w:jc w:val="left"/>
              <w:rPr>
                <w:sz w:val="20"/>
              </w:rPr>
            </w:pPr>
            <w:r>
              <w:rPr>
                <w:sz w:val="20"/>
              </w:rPr>
              <w:t>$</w:t>
            </w:r>
          </w:p>
        </w:tc>
        <w:tc>
          <w:tcPr>
            <w:tcW w:w="809" w:type="dxa"/>
            <w:tcBorders/>
            <w:shd w:fill="CCEEFF" w:val="clear"/>
            <w:vAlign w:val="center"/>
          </w:tcPr>
          <w:p>
            <w:pPr>
              <w:pStyle w:val="TableContents"/>
              <w:bidi w:val="0"/>
              <w:spacing w:before="0" w:after="283"/>
              <w:jc w:val="right"/>
              <w:rPr>
                <w:sz w:val="20"/>
              </w:rPr>
            </w:pPr>
            <w:r>
              <w:rPr>
                <w:sz w:val="20"/>
              </w:rPr>
              <w:t>106,069</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160" w:type="dxa"/>
            <w:tcBorders/>
            <w:shd w:fill="CCEEFF" w:val="clear"/>
            <w:vAlign w:val="center"/>
          </w:tcPr>
          <w:p>
            <w:pPr>
              <w:pStyle w:val="TableContents"/>
              <w:bidi w:val="0"/>
              <w:spacing w:before="0" w:after="283"/>
              <w:jc w:val="left"/>
              <w:rPr>
                <w:sz w:val="20"/>
              </w:rPr>
            </w:pPr>
            <w:r>
              <w:rPr>
                <w:sz w:val="20"/>
              </w:rPr>
              <w:t>$</w:t>
            </w:r>
          </w:p>
        </w:tc>
        <w:tc>
          <w:tcPr>
            <w:tcW w:w="970" w:type="dxa"/>
            <w:tcBorders/>
            <w:shd w:fill="CCEEFF" w:val="clear"/>
            <w:vAlign w:val="center"/>
          </w:tcPr>
          <w:p>
            <w:pPr>
              <w:pStyle w:val="TableContents"/>
              <w:bidi w:val="0"/>
              <w:spacing w:before="0" w:after="283"/>
              <w:jc w:val="right"/>
              <w:rPr>
                <w:sz w:val="20"/>
              </w:rPr>
            </w:pPr>
            <w:r>
              <w:rPr>
                <w:sz w:val="20"/>
              </w:rPr>
              <w:t>(104,663</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590" w:type="dxa"/>
            <w:tcBorders/>
            <w:shd w:fill="CCEEFF" w:val="clear"/>
            <w:vAlign w:val="center"/>
          </w:tcPr>
          <w:p>
            <w:pPr>
              <w:pStyle w:val="TableContents"/>
              <w:bidi w:val="0"/>
              <w:spacing w:before="0" w:after="283"/>
              <w:jc w:val="right"/>
              <w:rPr>
                <w:sz w:val="20"/>
              </w:rPr>
            </w:pPr>
            <w:r>
              <w:rPr>
                <w:sz w:val="20"/>
              </w:rPr>
              <w:t>1,902</w:t>
            </w:r>
          </w:p>
        </w:tc>
        <w:tc>
          <w:tcPr>
            <w:tcW w:w="78" w:type="dxa"/>
            <w:tcBorders/>
            <w:shd w:fill="CCEEFF" w:val="clear"/>
            <w:vAlign w:val="center"/>
          </w:tcPr>
          <w:p>
            <w:pPr>
              <w:pStyle w:val="TableContents"/>
              <w:bidi w:val="0"/>
              <w:spacing w:before="0" w:after="283"/>
              <w:ind w:left="0" w:right="0" w:hanging="180"/>
              <w:jc w:val="left"/>
              <w:rPr/>
            </w:pPr>
            <w:r>
              <w:rPr/>
              <w:t> </w:t>
            </w:r>
            <w:bookmarkStart w:id="184" w:name="xdx_403_eus-gaap--StockIssuedDuringPerio"/>
            <w:bookmarkEnd w:id="184"/>
          </w:p>
        </w:tc>
      </w:tr>
      <w:tr>
        <w:trPr/>
        <w:tc>
          <w:tcPr>
            <w:tcW w:w="3467" w:type="dxa"/>
            <w:tcBorders/>
            <w:vAlign w:val="center"/>
          </w:tcPr>
          <w:p>
            <w:pPr>
              <w:pStyle w:val="TableContents"/>
              <w:bidi w:val="0"/>
              <w:spacing w:before="0" w:after="283"/>
              <w:jc w:val="left"/>
              <w:rPr>
                <w:sz w:val="20"/>
              </w:rPr>
            </w:pPr>
            <w:r>
              <w:rPr>
                <w:sz w:val="20"/>
              </w:rPr>
              <w:t>Issuance of shares and stock option exercises</w:t>
            </w:r>
          </w:p>
        </w:tc>
        <w:tc>
          <w:tcPr>
            <w:tcW w:w="60" w:type="dxa"/>
            <w:tcBorders/>
            <w:vAlign w:val="center"/>
          </w:tcPr>
          <w:p>
            <w:pPr>
              <w:pStyle w:val="TableContents"/>
              <w:bidi w:val="0"/>
              <w:spacing w:before="0" w:after="283"/>
              <w:jc w:val="left"/>
              <w:rPr/>
            </w:pPr>
            <w:r>
              <w:rPr/>
              <w:t> </w:t>
            </w:r>
          </w:p>
        </w:tc>
        <w:tc>
          <w:tcPr>
            <w:tcW w:w="700" w:type="dxa"/>
            <w:tcBorders/>
            <w:vAlign w:val="center"/>
          </w:tcPr>
          <w:p>
            <w:pPr>
              <w:pStyle w:val="TableContents"/>
              <w:bidi w:val="0"/>
              <w:spacing w:before="0" w:after="283"/>
              <w:jc w:val="right"/>
              <w:rPr/>
            </w:pPr>
            <w:r>
              <w:rPr/>
              <w:t>—</w:t>
            </w:r>
          </w:p>
        </w:tc>
        <w:tc>
          <w:tcPr>
            <w:tcW w:w="71" w:type="dxa"/>
            <w:tcBorders/>
            <w:vAlign w:val="center"/>
          </w:tcPr>
          <w:p>
            <w:pPr>
              <w:pStyle w:val="TableContents"/>
              <w:bidi w:val="0"/>
              <w:spacing w:before="0" w:after="283"/>
              <w:jc w:val="right"/>
              <w:rPr/>
            </w:pPr>
            <w:r>
              <w:rPr/>
              <w:t> </w:t>
            </w:r>
          </w:p>
        </w:tc>
        <w:tc>
          <w:tcPr>
            <w:tcW w:w="71" w:type="dxa"/>
            <w:tcBorders/>
            <w:vAlign w:val="center"/>
          </w:tcPr>
          <w:p>
            <w:pPr>
              <w:pStyle w:val="TableContents"/>
              <w:bidi w:val="0"/>
              <w:spacing w:before="0" w:after="283"/>
              <w:jc w:val="right"/>
              <w:rPr/>
            </w:pPr>
            <w:r>
              <w:rPr/>
              <w:t> </w:t>
            </w:r>
          </w:p>
        </w:tc>
        <w:tc>
          <w:tcPr>
            <w:tcW w:w="22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right"/>
              <w:rPr/>
            </w:pPr>
            <w:r>
              <w:rPr/>
              <w:t> </w:t>
            </w:r>
            <w:bookmarkStart w:id="185" w:name="xdx_98B_eus-gaap--StockIssuedDuringPerio"/>
            <w:bookmarkEnd w:id="185"/>
          </w:p>
        </w:tc>
        <w:tc>
          <w:tcPr>
            <w:tcW w:w="950" w:type="dxa"/>
            <w:tcBorders/>
            <w:vAlign w:val="center"/>
          </w:tcPr>
          <w:p>
            <w:pPr>
              <w:pStyle w:val="TableContents"/>
              <w:bidi w:val="0"/>
              <w:spacing w:before="0" w:after="283"/>
              <w:jc w:val="right"/>
              <w:rPr>
                <w:sz w:val="20"/>
              </w:rPr>
            </w:pPr>
            <w:r>
              <w:rPr>
                <w:sz w:val="20"/>
              </w:rPr>
              <w:t>20,476,025</w:t>
            </w:r>
          </w:p>
        </w:tc>
        <w:tc>
          <w:tcPr>
            <w:tcW w:w="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right"/>
              <w:rPr/>
            </w:pPr>
            <w:r>
              <w:rPr/>
              <w:t> </w:t>
            </w:r>
          </w:p>
        </w:tc>
        <w:tc>
          <w:tcPr>
            <w:tcW w:w="188" w:type="dxa"/>
            <w:tcBorders/>
            <w:vAlign w:val="center"/>
          </w:tcPr>
          <w:p>
            <w:pPr>
              <w:pStyle w:val="TableContents"/>
              <w:bidi w:val="0"/>
              <w:spacing w:before="0" w:after="283"/>
              <w:jc w:val="left"/>
              <w:rPr/>
            </w:pPr>
            <w:r>
              <w:rPr/>
              <w:t> </w:t>
            </w:r>
          </w:p>
        </w:tc>
        <w:tc>
          <w:tcPr>
            <w:tcW w:w="507" w:type="dxa"/>
            <w:tcBorders/>
            <w:vAlign w:val="center"/>
          </w:tcPr>
          <w:p>
            <w:pPr>
              <w:pStyle w:val="TableContents"/>
              <w:bidi w:val="0"/>
              <w:spacing w:before="0" w:after="283"/>
              <w:jc w:val="right"/>
              <w:rPr>
                <w:sz w:val="20"/>
              </w:rPr>
            </w:pPr>
            <w:r>
              <w:rPr>
                <w:sz w:val="20"/>
              </w:rPr>
              <w:t>204</w:t>
            </w:r>
          </w:p>
        </w:tc>
        <w:tc>
          <w:tcPr>
            <w:tcW w:w="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right"/>
              <w:rPr/>
            </w:pPr>
            <w:r>
              <w:rPr/>
              <w:t> </w:t>
            </w:r>
          </w:p>
        </w:tc>
        <w:tc>
          <w:tcPr>
            <w:tcW w:w="144" w:type="dxa"/>
            <w:tcBorders/>
            <w:vAlign w:val="center"/>
          </w:tcPr>
          <w:p>
            <w:pPr>
              <w:pStyle w:val="TableContents"/>
              <w:bidi w:val="0"/>
              <w:spacing w:before="0" w:after="283"/>
              <w:jc w:val="left"/>
              <w:rPr/>
            </w:pPr>
            <w:r>
              <w:rPr/>
              <w:t> </w:t>
            </w:r>
          </w:p>
        </w:tc>
        <w:tc>
          <w:tcPr>
            <w:tcW w:w="809" w:type="dxa"/>
            <w:tcBorders/>
            <w:vAlign w:val="center"/>
          </w:tcPr>
          <w:p>
            <w:pPr>
              <w:pStyle w:val="TableContents"/>
              <w:bidi w:val="0"/>
              <w:spacing w:before="0" w:after="283"/>
              <w:jc w:val="right"/>
              <w:rPr>
                <w:sz w:val="20"/>
              </w:rPr>
            </w:pPr>
            <w:r>
              <w:rPr>
                <w:sz w:val="20"/>
              </w:rPr>
              <w:t>7,880</w:t>
            </w:r>
          </w:p>
        </w:tc>
        <w:tc>
          <w:tcPr>
            <w:tcW w:w="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right"/>
              <w:rPr/>
            </w:pPr>
            <w:r>
              <w:rPr/>
              <w:t> </w:t>
            </w:r>
          </w:p>
        </w:tc>
        <w:tc>
          <w:tcPr>
            <w:tcW w:w="160" w:type="dxa"/>
            <w:tcBorders/>
            <w:vAlign w:val="center"/>
          </w:tcPr>
          <w:p>
            <w:pPr>
              <w:pStyle w:val="TableContents"/>
              <w:bidi w:val="0"/>
              <w:spacing w:before="0" w:after="283"/>
              <w:jc w:val="left"/>
              <w:rPr/>
            </w:pPr>
            <w:r>
              <w:rPr/>
              <w:t> </w:t>
            </w:r>
          </w:p>
        </w:tc>
        <w:tc>
          <w:tcPr>
            <w:tcW w:w="970" w:type="dxa"/>
            <w:tcBorders/>
            <w:vAlign w:val="center"/>
          </w:tcPr>
          <w:p>
            <w:pPr>
              <w:pStyle w:val="TableContents"/>
              <w:bidi w:val="0"/>
              <w:spacing w:before="0" w:after="283"/>
              <w:jc w:val="right"/>
              <w:rPr/>
            </w:pPr>
            <w:r>
              <w:rPr/>
              <w:t>—</w:t>
            </w:r>
          </w:p>
        </w:tc>
        <w:tc>
          <w:tcPr>
            <w:tcW w:w="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sz w:val="20"/>
              </w:rPr>
            </w:pPr>
            <w:r>
              <w:rPr>
                <w:sz w:val="20"/>
              </w:rPr>
              <w:t>8,084</w:t>
            </w:r>
          </w:p>
        </w:tc>
        <w:tc>
          <w:tcPr>
            <w:tcW w:w="78" w:type="dxa"/>
            <w:tcBorders/>
            <w:vAlign w:val="center"/>
          </w:tcPr>
          <w:p>
            <w:pPr>
              <w:pStyle w:val="TableContents"/>
              <w:bidi w:val="0"/>
              <w:spacing w:before="0" w:after="283"/>
              <w:ind w:left="0" w:right="0" w:hanging="180"/>
              <w:jc w:val="left"/>
              <w:rPr/>
            </w:pPr>
            <w:r>
              <w:rPr/>
              <w:t> </w:t>
            </w:r>
            <w:bookmarkStart w:id="186" w:name="xdx_40C_eus-gaap--AdjustmentsToAdditiona"/>
            <w:bookmarkEnd w:id="186"/>
          </w:p>
        </w:tc>
      </w:tr>
      <w:tr>
        <w:trPr/>
        <w:tc>
          <w:tcPr>
            <w:tcW w:w="3467" w:type="dxa"/>
            <w:tcBorders/>
            <w:shd w:fill="CCEEFF" w:val="clear"/>
            <w:vAlign w:val="center"/>
          </w:tcPr>
          <w:p>
            <w:pPr>
              <w:pStyle w:val="TableContents"/>
              <w:bidi w:val="0"/>
              <w:spacing w:before="0" w:after="283"/>
              <w:jc w:val="left"/>
              <w:rPr>
                <w:sz w:val="20"/>
              </w:rPr>
            </w:pPr>
            <w:r>
              <w:rPr>
                <w:sz w:val="20"/>
              </w:rPr>
              <w:t>Stock-based compensation</w:t>
            </w:r>
          </w:p>
        </w:tc>
        <w:tc>
          <w:tcPr>
            <w:tcW w:w="60" w:type="dxa"/>
            <w:tcBorders/>
            <w:shd w:fill="CCEEFF" w:val="clear"/>
            <w:vAlign w:val="center"/>
          </w:tcPr>
          <w:p>
            <w:pPr>
              <w:pStyle w:val="TableContents"/>
              <w:bidi w:val="0"/>
              <w:spacing w:before="0" w:after="283"/>
              <w:jc w:val="left"/>
              <w:rPr/>
            </w:pPr>
            <w:r>
              <w:rPr/>
              <w:t> </w:t>
            </w:r>
          </w:p>
        </w:tc>
        <w:tc>
          <w:tcPr>
            <w:tcW w:w="700" w:type="dxa"/>
            <w:tcBorders/>
            <w:shd w:fill="CCEEFF" w:val="clear"/>
            <w:vAlign w:val="center"/>
          </w:tcPr>
          <w:p>
            <w:pPr>
              <w:pStyle w:val="TableContents"/>
              <w:bidi w:val="0"/>
              <w:spacing w:before="0" w:after="283"/>
              <w:jc w:val="right"/>
              <w:rPr/>
            </w:pPr>
            <w:r>
              <w:rPr/>
              <w:t>—</w:t>
            </w:r>
          </w:p>
        </w:tc>
        <w:tc>
          <w:tcPr>
            <w:tcW w:w="71" w:type="dxa"/>
            <w:tcBorders/>
            <w:shd w:fill="CCEEFF" w:val="clear"/>
            <w:vAlign w:val="center"/>
          </w:tcPr>
          <w:p>
            <w:pPr>
              <w:pStyle w:val="TableContents"/>
              <w:bidi w:val="0"/>
              <w:spacing w:before="0" w:after="283"/>
              <w:jc w:val="right"/>
              <w:rPr/>
            </w:pPr>
            <w:r>
              <w:rPr/>
              <w:t> </w:t>
            </w:r>
          </w:p>
        </w:tc>
        <w:tc>
          <w:tcPr>
            <w:tcW w:w="71" w:type="dxa"/>
            <w:tcBorders/>
            <w:shd w:fill="CCEEFF" w:val="clear"/>
            <w:vAlign w:val="center"/>
          </w:tcPr>
          <w:p>
            <w:pPr>
              <w:pStyle w:val="TableContents"/>
              <w:bidi w:val="0"/>
              <w:spacing w:before="0" w:after="283"/>
              <w:jc w:val="right"/>
              <w:rPr/>
            </w:pPr>
            <w:r>
              <w:rPr/>
              <w:t> </w:t>
            </w:r>
          </w:p>
        </w:tc>
        <w:tc>
          <w:tcPr>
            <w:tcW w:w="225" w:type="dxa"/>
            <w:tcBorders/>
            <w:shd w:fill="CCEEFF" w:val="clear"/>
            <w:vAlign w:val="center"/>
          </w:tcPr>
          <w:p>
            <w:pPr>
              <w:pStyle w:val="TableContents"/>
              <w:bidi w:val="0"/>
              <w:spacing w:before="0" w:after="283"/>
              <w:jc w:val="left"/>
              <w:rPr/>
            </w:pPr>
            <w:r>
              <w:rPr/>
              <w:t> </w:t>
            </w:r>
          </w:p>
        </w:tc>
        <w:tc>
          <w:tcPr>
            <w:tcW w:w="47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95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188" w:type="dxa"/>
            <w:tcBorders/>
            <w:shd w:fill="CCEEFF" w:val="clear"/>
            <w:vAlign w:val="center"/>
          </w:tcPr>
          <w:p>
            <w:pPr>
              <w:pStyle w:val="TableContents"/>
              <w:bidi w:val="0"/>
              <w:spacing w:before="0" w:after="283"/>
              <w:jc w:val="left"/>
              <w:rPr/>
            </w:pPr>
            <w:r>
              <w:rPr/>
              <w:t> </w:t>
            </w:r>
          </w:p>
        </w:tc>
        <w:tc>
          <w:tcPr>
            <w:tcW w:w="50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144" w:type="dxa"/>
            <w:tcBorders/>
            <w:shd w:fill="CCEEFF" w:val="clear"/>
            <w:vAlign w:val="center"/>
          </w:tcPr>
          <w:p>
            <w:pPr>
              <w:pStyle w:val="TableContents"/>
              <w:bidi w:val="0"/>
              <w:spacing w:before="0" w:after="283"/>
              <w:jc w:val="left"/>
              <w:rPr/>
            </w:pPr>
            <w:r>
              <w:rPr/>
              <w:t> </w:t>
            </w:r>
          </w:p>
        </w:tc>
        <w:tc>
          <w:tcPr>
            <w:tcW w:w="809" w:type="dxa"/>
            <w:tcBorders/>
            <w:shd w:fill="CCEEFF" w:val="clear"/>
            <w:vAlign w:val="center"/>
          </w:tcPr>
          <w:p>
            <w:pPr>
              <w:pStyle w:val="TableContents"/>
              <w:bidi w:val="0"/>
              <w:spacing w:before="0" w:after="283"/>
              <w:jc w:val="right"/>
              <w:rPr>
                <w:sz w:val="20"/>
              </w:rPr>
            </w:pPr>
            <w:r>
              <w:rPr>
                <w:sz w:val="20"/>
              </w:rPr>
              <w:t>725</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160"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725</w:t>
            </w:r>
          </w:p>
        </w:tc>
        <w:tc>
          <w:tcPr>
            <w:tcW w:w="78" w:type="dxa"/>
            <w:tcBorders/>
            <w:shd w:fill="CCEEFF" w:val="clear"/>
            <w:vAlign w:val="center"/>
          </w:tcPr>
          <w:p>
            <w:pPr>
              <w:pStyle w:val="TableContents"/>
              <w:bidi w:val="0"/>
              <w:spacing w:before="0" w:after="283"/>
              <w:jc w:val="left"/>
              <w:rPr/>
            </w:pPr>
            <w:r>
              <w:rPr/>
              <w:t> </w:t>
            </w:r>
            <w:bookmarkStart w:id="187" w:name="xdx_407_eus-gaap--NetIncomeLoss_zo0zsTxQ"/>
            <w:bookmarkEnd w:id="187"/>
          </w:p>
        </w:tc>
      </w:tr>
      <w:tr>
        <w:trPr/>
        <w:tc>
          <w:tcPr>
            <w:tcW w:w="3467" w:type="dxa"/>
            <w:tcBorders/>
            <w:vAlign w:val="center"/>
          </w:tcPr>
          <w:p>
            <w:pPr>
              <w:pStyle w:val="TableContents"/>
              <w:bidi w:val="0"/>
              <w:spacing w:before="0" w:after="283"/>
              <w:jc w:val="left"/>
              <w:rPr>
                <w:sz w:val="20"/>
              </w:rPr>
            </w:pPr>
            <w:r>
              <w:rPr>
                <w:sz w:val="20"/>
              </w:rPr>
              <w:t>Net income for the year ended December 31, 2024</w:t>
            </w:r>
          </w:p>
        </w:tc>
        <w:tc>
          <w:tcPr>
            <w:tcW w:w="60" w:type="dxa"/>
            <w:tcBorders/>
            <w:vAlign w:val="center"/>
          </w:tcPr>
          <w:p>
            <w:pPr>
              <w:pStyle w:val="TableContents"/>
              <w:bidi w:val="0"/>
              <w:spacing w:before="0" w:after="283"/>
              <w:jc w:val="left"/>
              <w:rPr/>
            </w:pPr>
            <w:r>
              <w:rPr/>
              <w:t> </w:t>
            </w:r>
          </w:p>
        </w:tc>
        <w:tc>
          <w:tcPr>
            <w:tcW w:w="700" w:type="dxa"/>
            <w:tcBorders>
              <w:bottom w:val="single" w:sz="8" w:space="0" w:color="000000"/>
            </w:tcBorders>
            <w:tcMar>
              <w:bottom w:w="28" w:type="dxa"/>
            </w:tcMar>
            <w:vAlign w:val="center"/>
          </w:tcPr>
          <w:p>
            <w:pPr>
              <w:pStyle w:val="TableContents"/>
              <w:bidi w:val="0"/>
              <w:spacing w:before="0" w:after="283"/>
              <w:jc w:val="right"/>
              <w:rPr/>
            </w:pPr>
            <w:r>
              <w:rPr/>
              <w:t>—</w:t>
            </w:r>
          </w:p>
        </w:tc>
        <w:tc>
          <w:tcPr>
            <w:tcW w:w="71" w:type="dxa"/>
            <w:tcBorders/>
            <w:vAlign w:val="center"/>
          </w:tcPr>
          <w:p>
            <w:pPr>
              <w:pStyle w:val="TableContents"/>
              <w:bidi w:val="0"/>
              <w:spacing w:before="0" w:after="283"/>
              <w:jc w:val="right"/>
              <w:rPr/>
            </w:pPr>
            <w:r>
              <w:rPr/>
              <w:t> </w:t>
            </w:r>
          </w:p>
        </w:tc>
        <w:tc>
          <w:tcPr>
            <w:tcW w:w="71" w:type="dxa"/>
            <w:tcBorders/>
            <w:vAlign w:val="center"/>
          </w:tcPr>
          <w:p>
            <w:pPr>
              <w:pStyle w:val="TableContents"/>
              <w:bidi w:val="0"/>
              <w:spacing w:before="0" w:after="283"/>
              <w:jc w:val="right"/>
              <w:rPr/>
            </w:pPr>
            <w:r>
              <w:rPr/>
              <w:t> </w:t>
            </w:r>
          </w:p>
        </w:tc>
        <w:tc>
          <w:tcPr>
            <w:tcW w:w="225" w:type="dxa"/>
            <w:tcBorders>
              <w:bottom w:val="single" w:sz="8" w:space="0" w:color="000000"/>
            </w:tcBorders>
            <w:tcMar>
              <w:bottom w:w="28" w:type="dxa"/>
            </w:tcMar>
            <w:vAlign w:val="center"/>
          </w:tcPr>
          <w:p>
            <w:pPr>
              <w:pStyle w:val="TableContents"/>
              <w:bidi w:val="0"/>
              <w:spacing w:before="0" w:after="283"/>
              <w:jc w:val="left"/>
              <w:rPr/>
            </w:pPr>
            <w:r>
              <w:rPr/>
              <w:t> </w:t>
            </w:r>
          </w:p>
        </w:tc>
        <w:tc>
          <w:tcPr>
            <w:tcW w:w="470" w:type="dxa"/>
            <w:tcBorders>
              <w:bottom w:val="single" w:sz="8" w:space="0" w:color="000000"/>
            </w:tcBorders>
            <w:tcMar>
              <w:bottom w:w="28" w:type="dxa"/>
            </w:tcMar>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right"/>
              <w:rPr/>
            </w:pPr>
            <w:r>
              <w:rPr/>
              <w:t> </w:t>
            </w:r>
          </w:p>
        </w:tc>
        <w:tc>
          <w:tcPr>
            <w:tcW w:w="950" w:type="dxa"/>
            <w:tcBorders>
              <w:bottom w:val="single" w:sz="8" w:space="0" w:color="000000"/>
            </w:tcBorders>
            <w:tcMar>
              <w:bottom w:w="28" w:type="dxa"/>
            </w:tcMar>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right"/>
              <w:rPr/>
            </w:pPr>
            <w:r>
              <w:rPr/>
              <w:t> </w:t>
            </w:r>
          </w:p>
        </w:tc>
        <w:tc>
          <w:tcPr>
            <w:tcW w:w="188" w:type="dxa"/>
            <w:tcBorders>
              <w:bottom w:val="single" w:sz="8" w:space="0" w:color="000000"/>
            </w:tcBorders>
            <w:tcMar>
              <w:bottom w:w="28" w:type="dxa"/>
            </w:tcMar>
            <w:vAlign w:val="center"/>
          </w:tcPr>
          <w:p>
            <w:pPr>
              <w:pStyle w:val="TableContents"/>
              <w:bidi w:val="0"/>
              <w:spacing w:before="0" w:after="283"/>
              <w:jc w:val="left"/>
              <w:rPr/>
            </w:pPr>
            <w:r>
              <w:rPr/>
              <w:t> </w:t>
            </w:r>
          </w:p>
        </w:tc>
        <w:tc>
          <w:tcPr>
            <w:tcW w:w="507" w:type="dxa"/>
            <w:tcBorders>
              <w:bottom w:val="single" w:sz="8" w:space="0" w:color="000000"/>
            </w:tcBorders>
            <w:tcMar>
              <w:bottom w:w="28" w:type="dxa"/>
            </w:tcMar>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right"/>
              <w:rPr/>
            </w:pPr>
            <w:r>
              <w:rPr/>
              <w:t> </w:t>
            </w:r>
          </w:p>
        </w:tc>
        <w:tc>
          <w:tcPr>
            <w:tcW w:w="144" w:type="dxa"/>
            <w:tcBorders>
              <w:bottom w:val="single" w:sz="8" w:space="0" w:color="000000"/>
            </w:tcBorders>
            <w:tcMar>
              <w:bottom w:w="28" w:type="dxa"/>
            </w:tcMar>
            <w:vAlign w:val="center"/>
          </w:tcPr>
          <w:p>
            <w:pPr>
              <w:pStyle w:val="TableContents"/>
              <w:bidi w:val="0"/>
              <w:spacing w:before="0" w:after="283"/>
              <w:jc w:val="left"/>
              <w:rPr/>
            </w:pPr>
            <w:r>
              <w:rPr/>
              <w:t> </w:t>
            </w:r>
          </w:p>
        </w:tc>
        <w:tc>
          <w:tcPr>
            <w:tcW w:w="809" w:type="dxa"/>
            <w:tcBorders>
              <w:bottom w:val="single" w:sz="8" w:space="0" w:color="000000"/>
            </w:tcBorders>
            <w:tcMar>
              <w:bottom w:w="28" w:type="dxa"/>
            </w:tcMar>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right"/>
              <w:rPr/>
            </w:pPr>
            <w:r>
              <w:rPr/>
              <w:t> </w:t>
            </w:r>
          </w:p>
        </w:tc>
        <w:tc>
          <w:tcPr>
            <w:tcW w:w="160" w:type="dxa"/>
            <w:tcBorders>
              <w:bottom w:val="single" w:sz="8" w:space="0" w:color="000000"/>
            </w:tcBorders>
            <w:tcMar>
              <w:bottom w:w="28" w:type="dxa"/>
            </w:tcMar>
            <w:vAlign w:val="center"/>
          </w:tcPr>
          <w:p>
            <w:pPr>
              <w:pStyle w:val="TableContents"/>
              <w:bidi w:val="0"/>
              <w:spacing w:before="0" w:after="283"/>
              <w:jc w:val="left"/>
              <w:rPr/>
            </w:pPr>
            <w:r>
              <w:rPr/>
              <w:t> </w:t>
            </w:r>
          </w:p>
        </w:tc>
        <w:tc>
          <w:tcPr>
            <w:tcW w:w="970" w:type="dxa"/>
            <w:tcBorders>
              <w:bottom w:val="single" w:sz="8" w:space="0" w:color="000000"/>
            </w:tcBorders>
            <w:tcMar>
              <w:bottom w:w="28" w:type="dxa"/>
            </w:tcMar>
            <w:vAlign w:val="center"/>
          </w:tcPr>
          <w:p>
            <w:pPr>
              <w:pStyle w:val="TableContents"/>
              <w:bidi w:val="0"/>
              <w:spacing w:before="0" w:after="283"/>
              <w:jc w:val="right"/>
              <w:rPr>
                <w:sz w:val="20"/>
              </w:rPr>
            </w:pPr>
            <w:r>
              <w:rPr>
                <w:sz w:val="20"/>
              </w:rPr>
              <w:t>4,235</w:t>
            </w:r>
          </w:p>
        </w:tc>
        <w:tc>
          <w:tcPr>
            <w:tcW w:w="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right"/>
              <w:rPr/>
            </w:pPr>
            <w:r>
              <w:rPr/>
              <w:t> </w:t>
            </w:r>
          </w:p>
        </w:tc>
        <w:tc>
          <w:tcPr>
            <w:tcW w:w="125" w:type="dxa"/>
            <w:tcBorders>
              <w:bottom w:val="single" w:sz="8" w:space="0" w:color="000000"/>
            </w:tcBorders>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tcMar>
              <w:bottom w:w="28" w:type="dxa"/>
            </w:tcMar>
            <w:vAlign w:val="center"/>
          </w:tcPr>
          <w:p>
            <w:pPr>
              <w:pStyle w:val="TableContents"/>
              <w:bidi w:val="0"/>
              <w:spacing w:before="0" w:after="283"/>
              <w:jc w:val="right"/>
              <w:rPr>
                <w:sz w:val="20"/>
              </w:rPr>
            </w:pPr>
            <w:r>
              <w:rPr>
                <w:sz w:val="20"/>
              </w:rPr>
              <w:t>4,235</w:t>
            </w:r>
          </w:p>
        </w:tc>
        <w:tc>
          <w:tcPr>
            <w:tcW w:w="78" w:type="dxa"/>
            <w:tcBorders/>
            <w:vAlign w:val="center"/>
          </w:tcPr>
          <w:p>
            <w:pPr>
              <w:pStyle w:val="TableContents"/>
              <w:bidi w:val="0"/>
              <w:spacing w:before="0" w:after="283"/>
              <w:ind w:left="0" w:right="0" w:hanging="180"/>
              <w:jc w:val="left"/>
              <w:rPr/>
            </w:pPr>
            <w:r>
              <w:rPr/>
              <w:t> </w:t>
            </w:r>
            <w:bookmarkStart w:id="188" w:name="xdx_434_c20250101__20251231_eus-gaap--St"/>
            <w:bookmarkEnd w:id="188"/>
          </w:p>
        </w:tc>
      </w:tr>
      <w:tr>
        <w:trPr/>
        <w:tc>
          <w:tcPr>
            <w:tcW w:w="3467" w:type="dxa"/>
            <w:tcBorders/>
            <w:shd w:fill="CCEEFF" w:val="clear"/>
            <w:vAlign w:val="center"/>
          </w:tcPr>
          <w:p>
            <w:pPr>
              <w:pStyle w:val="TableContents"/>
              <w:bidi w:val="0"/>
              <w:spacing w:before="0" w:after="283"/>
              <w:jc w:val="left"/>
              <w:rPr>
                <w:sz w:val="20"/>
              </w:rPr>
            </w:pPr>
            <w:r>
              <w:rPr>
                <w:sz w:val="20"/>
              </w:rPr>
              <w:t>Balance on December 31, 2024</w:t>
            </w:r>
          </w:p>
        </w:tc>
        <w:tc>
          <w:tcPr>
            <w:tcW w:w="60" w:type="dxa"/>
            <w:tcBorders/>
            <w:shd w:fill="CCEEFF" w:val="clear"/>
            <w:vAlign w:val="center"/>
          </w:tcPr>
          <w:p>
            <w:pPr>
              <w:pStyle w:val="TableContents"/>
              <w:bidi w:val="0"/>
              <w:spacing w:before="0" w:after="283"/>
              <w:jc w:val="left"/>
              <w:rPr/>
            </w:pPr>
            <w:r>
              <w:rPr/>
              <w:t> </w:t>
            </w:r>
            <w:bookmarkStart w:id="189" w:name="xdx_98F_eus-gaap--SharesOutstanding_iS_p"/>
            <w:bookmarkEnd w:id="189"/>
          </w:p>
        </w:tc>
        <w:tc>
          <w:tcPr>
            <w:tcW w:w="700" w:type="dxa"/>
            <w:tcBorders/>
            <w:shd w:fill="CCEEFF" w:val="clear"/>
            <w:vAlign w:val="center"/>
          </w:tcPr>
          <w:p>
            <w:pPr>
              <w:pStyle w:val="TableContents"/>
              <w:bidi w:val="0"/>
              <w:spacing w:before="0" w:after="283"/>
              <w:jc w:val="right"/>
              <w:rPr/>
            </w:pPr>
            <w:r>
              <w:rPr/>
              <w:t>—</w:t>
            </w:r>
          </w:p>
        </w:tc>
        <w:tc>
          <w:tcPr>
            <w:tcW w:w="71" w:type="dxa"/>
            <w:tcBorders/>
            <w:shd w:fill="CCEEFF" w:val="clear"/>
            <w:vAlign w:val="center"/>
          </w:tcPr>
          <w:p>
            <w:pPr>
              <w:pStyle w:val="TableContents"/>
              <w:bidi w:val="0"/>
              <w:spacing w:before="0" w:after="283"/>
              <w:jc w:val="right"/>
              <w:rPr/>
            </w:pPr>
            <w:r>
              <w:rPr/>
              <w:t> </w:t>
            </w:r>
          </w:p>
        </w:tc>
        <w:tc>
          <w:tcPr>
            <w:tcW w:w="71" w:type="dxa"/>
            <w:tcBorders/>
            <w:shd w:fill="CCEEFF" w:val="clear"/>
            <w:vAlign w:val="center"/>
          </w:tcPr>
          <w:p>
            <w:pPr>
              <w:pStyle w:val="TableContents"/>
              <w:bidi w:val="0"/>
              <w:spacing w:before="0" w:after="283"/>
              <w:jc w:val="right"/>
              <w:rPr/>
            </w:pPr>
            <w:r>
              <w:rPr/>
              <w:t> </w:t>
            </w:r>
          </w:p>
        </w:tc>
        <w:tc>
          <w:tcPr>
            <w:tcW w:w="225" w:type="dxa"/>
            <w:tcBorders/>
            <w:shd w:fill="CCEEFF" w:val="clear"/>
            <w:vAlign w:val="center"/>
          </w:tcPr>
          <w:p>
            <w:pPr>
              <w:pStyle w:val="TableContents"/>
              <w:bidi w:val="0"/>
              <w:spacing w:before="0" w:after="283"/>
              <w:jc w:val="left"/>
              <w:rPr>
                <w:sz w:val="20"/>
              </w:rPr>
            </w:pPr>
            <w:r>
              <w:rPr>
                <w:sz w:val="20"/>
              </w:rPr>
              <w:t>$</w:t>
            </w:r>
          </w:p>
        </w:tc>
        <w:tc>
          <w:tcPr>
            <w:tcW w:w="47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bookmarkStart w:id="190" w:name="xdx_98F_eus-gaap--SharesOutstanding_iS_p"/>
            <w:bookmarkEnd w:id="190"/>
          </w:p>
        </w:tc>
        <w:tc>
          <w:tcPr>
            <w:tcW w:w="950" w:type="dxa"/>
            <w:tcBorders/>
            <w:shd w:fill="CCEEFF" w:val="clear"/>
            <w:vAlign w:val="center"/>
          </w:tcPr>
          <w:p>
            <w:pPr>
              <w:pStyle w:val="TableContents"/>
              <w:bidi w:val="0"/>
              <w:spacing w:before="0" w:after="283"/>
              <w:jc w:val="right"/>
              <w:rPr>
                <w:sz w:val="20"/>
              </w:rPr>
            </w:pPr>
            <w:r>
              <w:rPr>
                <w:sz w:val="20"/>
              </w:rPr>
              <w:t>70,103,279</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188" w:type="dxa"/>
            <w:tcBorders/>
            <w:shd w:fill="CCEEFF" w:val="clear"/>
            <w:vAlign w:val="center"/>
          </w:tcPr>
          <w:p>
            <w:pPr>
              <w:pStyle w:val="TableContents"/>
              <w:bidi w:val="0"/>
              <w:spacing w:before="0" w:after="283"/>
              <w:jc w:val="left"/>
              <w:rPr>
                <w:sz w:val="20"/>
              </w:rPr>
            </w:pPr>
            <w:r>
              <w:rPr>
                <w:sz w:val="20"/>
              </w:rPr>
              <w:t>$</w:t>
            </w:r>
          </w:p>
        </w:tc>
        <w:tc>
          <w:tcPr>
            <w:tcW w:w="507" w:type="dxa"/>
            <w:tcBorders/>
            <w:shd w:fill="CCEEFF" w:val="clear"/>
            <w:vAlign w:val="center"/>
          </w:tcPr>
          <w:p>
            <w:pPr>
              <w:pStyle w:val="TableContents"/>
              <w:bidi w:val="0"/>
              <w:spacing w:before="0" w:after="283"/>
              <w:jc w:val="right"/>
              <w:rPr>
                <w:sz w:val="20"/>
              </w:rPr>
            </w:pPr>
            <w:r>
              <w:rPr>
                <w:sz w:val="20"/>
              </w:rPr>
              <w:t>700</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144" w:type="dxa"/>
            <w:tcBorders/>
            <w:shd w:fill="CCEEFF" w:val="clear"/>
            <w:vAlign w:val="center"/>
          </w:tcPr>
          <w:p>
            <w:pPr>
              <w:pStyle w:val="TableContents"/>
              <w:bidi w:val="0"/>
              <w:spacing w:before="0" w:after="283"/>
              <w:jc w:val="left"/>
              <w:rPr>
                <w:sz w:val="20"/>
              </w:rPr>
            </w:pPr>
            <w:r>
              <w:rPr>
                <w:sz w:val="20"/>
              </w:rPr>
              <w:t>$</w:t>
            </w:r>
          </w:p>
        </w:tc>
        <w:tc>
          <w:tcPr>
            <w:tcW w:w="809" w:type="dxa"/>
            <w:tcBorders/>
            <w:shd w:fill="CCEEFF" w:val="clear"/>
            <w:vAlign w:val="center"/>
          </w:tcPr>
          <w:p>
            <w:pPr>
              <w:pStyle w:val="TableContents"/>
              <w:bidi w:val="0"/>
              <w:spacing w:before="0" w:after="283"/>
              <w:jc w:val="right"/>
              <w:rPr>
                <w:sz w:val="20"/>
              </w:rPr>
            </w:pPr>
            <w:r>
              <w:rPr>
                <w:sz w:val="20"/>
              </w:rPr>
              <w:t>114,674</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160" w:type="dxa"/>
            <w:tcBorders/>
            <w:shd w:fill="CCEEFF" w:val="clear"/>
            <w:vAlign w:val="center"/>
          </w:tcPr>
          <w:p>
            <w:pPr>
              <w:pStyle w:val="TableContents"/>
              <w:bidi w:val="0"/>
              <w:spacing w:before="0" w:after="283"/>
              <w:jc w:val="left"/>
              <w:rPr>
                <w:sz w:val="20"/>
              </w:rPr>
            </w:pPr>
            <w:r>
              <w:rPr>
                <w:sz w:val="20"/>
              </w:rPr>
              <w:t>$</w:t>
            </w:r>
          </w:p>
        </w:tc>
        <w:tc>
          <w:tcPr>
            <w:tcW w:w="970" w:type="dxa"/>
            <w:tcBorders/>
            <w:shd w:fill="CCEEFF" w:val="clear"/>
            <w:vAlign w:val="center"/>
          </w:tcPr>
          <w:p>
            <w:pPr>
              <w:pStyle w:val="TableContents"/>
              <w:bidi w:val="0"/>
              <w:spacing w:before="0" w:after="283"/>
              <w:jc w:val="right"/>
              <w:rPr>
                <w:sz w:val="20"/>
              </w:rPr>
            </w:pPr>
            <w:r>
              <w:rPr>
                <w:sz w:val="20"/>
              </w:rPr>
              <w:t>(100,428</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sz w:val="20"/>
              </w:rPr>
            </w:pPr>
            <w:r>
              <w:rPr>
                <w:sz w:val="20"/>
              </w:rPr>
              <w:t>$</w:t>
            </w:r>
            <w:bookmarkStart w:id="191" w:name="xdx_982_eus-gaap--StockholdersEquity_iS_"/>
            <w:bookmarkEnd w:id="191"/>
          </w:p>
        </w:tc>
        <w:tc>
          <w:tcPr>
            <w:tcW w:w="590" w:type="dxa"/>
            <w:tcBorders/>
            <w:shd w:fill="CCEEFF" w:val="clear"/>
            <w:vAlign w:val="center"/>
          </w:tcPr>
          <w:p>
            <w:pPr>
              <w:pStyle w:val="TableContents"/>
              <w:bidi w:val="0"/>
              <w:spacing w:before="0" w:after="283"/>
              <w:jc w:val="right"/>
              <w:rPr>
                <w:sz w:val="20"/>
              </w:rPr>
            </w:pPr>
            <w:r>
              <w:rPr>
                <w:sz w:val="20"/>
              </w:rPr>
              <w:t>14,946</w:t>
            </w:r>
          </w:p>
        </w:tc>
        <w:tc>
          <w:tcPr>
            <w:tcW w:w="78" w:type="dxa"/>
            <w:tcBorders/>
            <w:shd w:fill="CCEEFF" w:val="clear"/>
            <w:vAlign w:val="center"/>
          </w:tcPr>
          <w:p>
            <w:pPr>
              <w:pStyle w:val="TableContents"/>
              <w:bidi w:val="0"/>
              <w:spacing w:before="0" w:after="283"/>
              <w:ind w:left="0" w:right="0" w:hanging="180"/>
              <w:jc w:val="left"/>
              <w:rPr/>
            </w:pPr>
            <w:r>
              <w:rPr/>
              <w:t> </w:t>
            </w:r>
            <w:bookmarkStart w:id="192" w:name="xdx_403_eus-gaap--StockIssuedDuringPerio"/>
            <w:bookmarkEnd w:id="192"/>
          </w:p>
        </w:tc>
      </w:tr>
      <w:tr>
        <w:trPr/>
        <w:tc>
          <w:tcPr>
            <w:tcW w:w="3467" w:type="dxa"/>
            <w:tcBorders/>
            <w:vAlign w:val="center"/>
          </w:tcPr>
          <w:p>
            <w:pPr>
              <w:pStyle w:val="TableContents"/>
              <w:bidi w:val="0"/>
              <w:spacing w:before="0" w:after="283"/>
              <w:jc w:val="left"/>
              <w:rPr>
                <w:sz w:val="20"/>
              </w:rPr>
            </w:pPr>
            <w:r>
              <w:rPr>
                <w:sz w:val="20"/>
              </w:rPr>
              <w:t>Issuance of shares and stock option exercises</w:t>
            </w:r>
          </w:p>
        </w:tc>
        <w:tc>
          <w:tcPr>
            <w:tcW w:w="60" w:type="dxa"/>
            <w:tcBorders/>
            <w:vAlign w:val="center"/>
          </w:tcPr>
          <w:p>
            <w:pPr>
              <w:pStyle w:val="TableContents"/>
              <w:bidi w:val="0"/>
              <w:spacing w:before="0" w:after="283"/>
              <w:jc w:val="left"/>
              <w:rPr/>
            </w:pPr>
            <w:r>
              <w:rPr/>
              <w:t> </w:t>
            </w:r>
          </w:p>
        </w:tc>
        <w:tc>
          <w:tcPr>
            <w:tcW w:w="700" w:type="dxa"/>
            <w:tcBorders/>
            <w:vAlign w:val="center"/>
          </w:tcPr>
          <w:p>
            <w:pPr>
              <w:pStyle w:val="TableContents"/>
              <w:bidi w:val="0"/>
              <w:spacing w:before="0" w:after="283"/>
              <w:jc w:val="right"/>
              <w:rPr/>
            </w:pPr>
            <w:r>
              <w:rPr/>
              <w:t>—</w:t>
            </w:r>
          </w:p>
        </w:tc>
        <w:tc>
          <w:tcPr>
            <w:tcW w:w="71" w:type="dxa"/>
            <w:tcBorders/>
            <w:vAlign w:val="center"/>
          </w:tcPr>
          <w:p>
            <w:pPr>
              <w:pStyle w:val="TableContents"/>
              <w:bidi w:val="0"/>
              <w:spacing w:before="0" w:after="283"/>
              <w:jc w:val="right"/>
              <w:rPr/>
            </w:pPr>
            <w:r>
              <w:rPr/>
              <w:t> </w:t>
            </w:r>
          </w:p>
        </w:tc>
        <w:tc>
          <w:tcPr>
            <w:tcW w:w="71" w:type="dxa"/>
            <w:tcBorders/>
            <w:vAlign w:val="center"/>
          </w:tcPr>
          <w:p>
            <w:pPr>
              <w:pStyle w:val="TableContents"/>
              <w:bidi w:val="0"/>
              <w:spacing w:before="0" w:after="283"/>
              <w:jc w:val="right"/>
              <w:rPr/>
            </w:pPr>
            <w:r>
              <w:rPr/>
              <w:t> </w:t>
            </w:r>
          </w:p>
        </w:tc>
        <w:tc>
          <w:tcPr>
            <w:tcW w:w="22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right"/>
              <w:rPr/>
            </w:pPr>
            <w:r>
              <w:rPr/>
              <w:t> </w:t>
            </w:r>
            <w:bookmarkStart w:id="193" w:name="xdx_983_eus-gaap--StockIssuedDuringPerio"/>
            <w:bookmarkEnd w:id="193"/>
          </w:p>
        </w:tc>
        <w:tc>
          <w:tcPr>
            <w:tcW w:w="950" w:type="dxa"/>
            <w:tcBorders/>
            <w:vAlign w:val="center"/>
          </w:tcPr>
          <w:p>
            <w:pPr>
              <w:pStyle w:val="TableContents"/>
              <w:bidi w:val="0"/>
              <w:spacing w:before="0" w:after="283"/>
              <w:jc w:val="right"/>
              <w:rPr>
                <w:sz w:val="20"/>
              </w:rPr>
            </w:pPr>
            <w:r>
              <w:rPr>
                <w:sz w:val="20"/>
              </w:rPr>
              <w:t>510,766</w:t>
            </w:r>
          </w:p>
        </w:tc>
        <w:tc>
          <w:tcPr>
            <w:tcW w:w="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right"/>
              <w:rPr/>
            </w:pPr>
            <w:r>
              <w:rPr/>
              <w:t> </w:t>
            </w:r>
          </w:p>
        </w:tc>
        <w:tc>
          <w:tcPr>
            <w:tcW w:w="188" w:type="dxa"/>
            <w:tcBorders/>
            <w:vAlign w:val="center"/>
          </w:tcPr>
          <w:p>
            <w:pPr>
              <w:pStyle w:val="TableContents"/>
              <w:bidi w:val="0"/>
              <w:spacing w:before="0" w:after="283"/>
              <w:jc w:val="left"/>
              <w:rPr/>
            </w:pPr>
            <w:r>
              <w:rPr/>
              <w:t> </w:t>
            </w:r>
          </w:p>
        </w:tc>
        <w:tc>
          <w:tcPr>
            <w:tcW w:w="507" w:type="dxa"/>
            <w:tcBorders/>
            <w:vAlign w:val="center"/>
          </w:tcPr>
          <w:p>
            <w:pPr>
              <w:pStyle w:val="TableContents"/>
              <w:bidi w:val="0"/>
              <w:spacing w:before="0" w:after="283"/>
              <w:jc w:val="right"/>
              <w:rPr>
                <w:sz w:val="20"/>
              </w:rPr>
            </w:pPr>
            <w:r>
              <w:rPr>
                <w:sz w:val="20"/>
              </w:rPr>
              <w:t>6</w:t>
            </w:r>
          </w:p>
        </w:tc>
        <w:tc>
          <w:tcPr>
            <w:tcW w:w="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right"/>
              <w:rPr/>
            </w:pPr>
            <w:r>
              <w:rPr/>
              <w:t> </w:t>
            </w:r>
          </w:p>
        </w:tc>
        <w:tc>
          <w:tcPr>
            <w:tcW w:w="144" w:type="dxa"/>
            <w:tcBorders/>
            <w:vAlign w:val="center"/>
          </w:tcPr>
          <w:p>
            <w:pPr>
              <w:pStyle w:val="TableContents"/>
              <w:bidi w:val="0"/>
              <w:spacing w:before="0" w:after="283"/>
              <w:jc w:val="left"/>
              <w:rPr/>
            </w:pPr>
            <w:r>
              <w:rPr/>
              <w:t> </w:t>
            </w:r>
          </w:p>
        </w:tc>
        <w:tc>
          <w:tcPr>
            <w:tcW w:w="809" w:type="dxa"/>
            <w:tcBorders/>
            <w:vAlign w:val="center"/>
          </w:tcPr>
          <w:p>
            <w:pPr>
              <w:pStyle w:val="TableContents"/>
              <w:bidi w:val="0"/>
              <w:spacing w:before="0" w:after="283"/>
              <w:jc w:val="right"/>
              <w:rPr>
                <w:sz w:val="20"/>
              </w:rPr>
            </w:pPr>
            <w:r>
              <w:rPr>
                <w:sz w:val="20"/>
              </w:rPr>
              <w:t>317</w:t>
            </w:r>
          </w:p>
        </w:tc>
        <w:tc>
          <w:tcPr>
            <w:tcW w:w="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right"/>
              <w:rPr/>
            </w:pPr>
            <w:r>
              <w:rPr/>
              <w:t> </w:t>
            </w:r>
          </w:p>
        </w:tc>
        <w:tc>
          <w:tcPr>
            <w:tcW w:w="160" w:type="dxa"/>
            <w:tcBorders/>
            <w:vAlign w:val="center"/>
          </w:tcPr>
          <w:p>
            <w:pPr>
              <w:pStyle w:val="TableContents"/>
              <w:bidi w:val="0"/>
              <w:spacing w:before="0" w:after="283"/>
              <w:jc w:val="left"/>
              <w:rPr/>
            </w:pPr>
            <w:r>
              <w:rPr/>
              <w:t> </w:t>
            </w:r>
          </w:p>
        </w:tc>
        <w:tc>
          <w:tcPr>
            <w:tcW w:w="970" w:type="dxa"/>
            <w:tcBorders/>
            <w:vAlign w:val="center"/>
          </w:tcPr>
          <w:p>
            <w:pPr>
              <w:pStyle w:val="TableContents"/>
              <w:bidi w:val="0"/>
              <w:spacing w:before="0" w:after="283"/>
              <w:jc w:val="right"/>
              <w:rPr/>
            </w:pPr>
            <w:r>
              <w:rPr/>
              <w:t>—</w:t>
            </w:r>
          </w:p>
        </w:tc>
        <w:tc>
          <w:tcPr>
            <w:tcW w:w="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sz w:val="20"/>
              </w:rPr>
            </w:pPr>
            <w:r>
              <w:rPr>
                <w:sz w:val="20"/>
              </w:rPr>
              <w:t>323</w:t>
            </w:r>
          </w:p>
        </w:tc>
        <w:tc>
          <w:tcPr>
            <w:tcW w:w="78" w:type="dxa"/>
            <w:tcBorders/>
            <w:vAlign w:val="center"/>
          </w:tcPr>
          <w:p>
            <w:pPr>
              <w:pStyle w:val="TableContents"/>
              <w:bidi w:val="0"/>
              <w:spacing w:before="0" w:after="283"/>
              <w:ind w:left="0" w:right="0" w:hanging="180"/>
              <w:jc w:val="left"/>
              <w:rPr/>
            </w:pPr>
            <w:r>
              <w:rPr/>
              <w:t> </w:t>
            </w:r>
            <w:bookmarkStart w:id="194" w:name="xdx_40C_eus-gaap--AdjustmentsToAdditiona"/>
            <w:bookmarkEnd w:id="194"/>
          </w:p>
        </w:tc>
      </w:tr>
      <w:tr>
        <w:trPr/>
        <w:tc>
          <w:tcPr>
            <w:tcW w:w="3467" w:type="dxa"/>
            <w:tcBorders/>
            <w:shd w:fill="CCEEFF" w:val="clear"/>
            <w:vAlign w:val="center"/>
          </w:tcPr>
          <w:p>
            <w:pPr>
              <w:pStyle w:val="TableContents"/>
              <w:bidi w:val="0"/>
              <w:spacing w:before="0" w:after="283"/>
              <w:jc w:val="left"/>
              <w:rPr>
                <w:sz w:val="20"/>
              </w:rPr>
            </w:pPr>
            <w:r>
              <w:rPr>
                <w:sz w:val="20"/>
              </w:rPr>
              <w:t>Stock-based compensation</w:t>
            </w:r>
          </w:p>
        </w:tc>
        <w:tc>
          <w:tcPr>
            <w:tcW w:w="60" w:type="dxa"/>
            <w:tcBorders/>
            <w:shd w:fill="CCEEFF" w:val="clear"/>
            <w:vAlign w:val="center"/>
          </w:tcPr>
          <w:p>
            <w:pPr>
              <w:pStyle w:val="TableContents"/>
              <w:bidi w:val="0"/>
              <w:spacing w:before="0" w:after="283"/>
              <w:jc w:val="left"/>
              <w:rPr/>
            </w:pPr>
            <w:r>
              <w:rPr/>
              <w:t> </w:t>
            </w:r>
          </w:p>
        </w:tc>
        <w:tc>
          <w:tcPr>
            <w:tcW w:w="700" w:type="dxa"/>
            <w:tcBorders/>
            <w:shd w:fill="CCEEFF" w:val="clear"/>
            <w:vAlign w:val="center"/>
          </w:tcPr>
          <w:p>
            <w:pPr>
              <w:pStyle w:val="TableContents"/>
              <w:bidi w:val="0"/>
              <w:spacing w:before="0" w:after="283"/>
              <w:jc w:val="right"/>
              <w:rPr/>
            </w:pPr>
            <w:r>
              <w:rPr/>
              <w:t>—</w:t>
            </w:r>
          </w:p>
        </w:tc>
        <w:tc>
          <w:tcPr>
            <w:tcW w:w="71" w:type="dxa"/>
            <w:tcBorders/>
            <w:shd w:fill="CCEEFF" w:val="clear"/>
            <w:vAlign w:val="center"/>
          </w:tcPr>
          <w:p>
            <w:pPr>
              <w:pStyle w:val="TableContents"/>
              <w:bidi w:val="0"/>
              <w:spacing w:before="0" w:after="283"/>
              <w:jc w:val="right"/>
              <w:rPr/>
            </w:pPr>
            <w:r>
              <w:rPr/>
              <w:t> </w:t>
            </w:r>
          </w:p>
        </w:tc>
        <w:tc>
          <w:tcPr>
            <w:tcW w:w="71" w:type="dxa"/>
            <w:tcBorders/>
            <w:shd w:fill="CCEEFF" w:val="clear"/>
            <w:vAlign w:val="center"/>
          </w:tcPr>
          <w:p>
            <w:pPr>
              <w:pStyle w:val="TableContents"/>
              <w:bidi w:val="0"/>
              <w:spacing w:before="0" w:after="283"/>
              <w:jc w:val="right"/>
              <w:rPr/>
            </w:pPr>
            <w:r>
              <w:rPr/>
              <w:t> </w:t>
            </w:r>
          </w:p>
        </w:tc>
        <w:tc>
          <w:tcPr>
            <w:tcW w:w="225" w:type="dxa"/>
            <w:tcBorders/>
            <w:shd w:fill="CCEEFF" w:val="clear"/>
            <w:vAlign w:val="center"/>
          </w:tcPr>
          <w:p>
            <w:pPr>
              <w:pStyle w:val="TableContents"/>
              <w:bidi w:val="0"/>
              <w:spacing w:before="0" w:after="283"/>
              <w:jc w:val="left"/>
              <w:rPr/>
            </w:pPr>
            <w:r>
              <w:rPr/>
              <w:t> </w:t>
            </w:r>
          </w:p>
        </w:tc>
        <w:tc>
          <w:tcPr>
            <w:tcW w:w="47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95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188" w:type="dxa"/>
            <w:tcBorders/>
            <w:shd w:fill="CCEEFF" w:val="clear"/>
            <w:vAlign w:val="center"/>
          </w:tcPr>
          <w:p>
            <w:pPr>
              <w:pStyle w:val="TableContents"/>
              <w:bidi w:val="0"/>
              <w:spacing w:before="0" w:after="283"/>
              <w:jc w:val="left"/>
              <w:rPr/>
            </w:pPr>
            <w:r>
              <w:rPr/>
              <w:t> </w:t>
            </w:r>
          </w:p>
        </w:tc>
        <w:tc>
          <w:tcPr>
            <w:tcW w:w="50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144" w:type="dxa"/>
            <w:tcBorders/>
            <w:shd w:fill="CCEEFF" w:val="clear"/>
            <w:vAlign w:val="center"/>
          </w:tcPr>
          <w:p>
            <w:pPr>
              <w:pStyle w:val="TableContents"/>
              <w:bidi w:val="0"/>
              <w:spacing w:before="0" w:after="283"/>
              <w:jc w:val="left"/>
              <w:rPr/>
            </w:pPr>
            <w:r>
              <w:rPr/>
              <w:t> </w:t>
            </w:r>
          </w:p>
        </w:tc>
        <w:tc>
          <w:tcPr>
            <w:tcW w:w="809" w:type="dxa"/>
            <w:tcBorders/>
            <w:shd w:fill="CCEEFF" w:val="clear"/>
            <w:vAlign w:val="center"/>
          </w:tcPr>
          <w:p>
            <w:pPr>
              <w:pStyle w:val="TableContents"/>
              <w:bidi w:val="0"/>
              <w:spacing w:before="0" w:after="283"/>
              <w:jc w:val="right"/>
              <w:rPr>
                <w:sz w:val="20"/>
              </w:rPr>
            </w:pPr>
            <w:r>
              <w:rPr>
                <w:sz w:val="20"/>
              </w:rPr>
              <w:t>575</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160"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575</w:t>
            </w:r>
          </w:p>
        </w:tc>
        <w:tc>
          <w:tcPr>
            <w:tcW w:w="78" w:type="dxa"/>
            <w:tcBorders/>
            <w:shd w:fill="CCEEFF" w:val="clear"/>
            <w:vAlign w:val="center"/>
          </w:tcPr>
          <w:p>
            <w:pPr>
              <w:pStyle w:val="TableContents"/>
              <w:bidi w:val="0"/>
              <w:spacing w:before="0" w:after="283"/>
              <w:ind w:left="0" w:right="0" w:hanging="180"/>
              <w:jc w:val="left"/>
              <w:rPr/>
            </w:pPr>
            <w:r>
              <w:rPr/>
              <w:t> </w:t>
            </w:r>
            <w:bookmarkStart w:id="195" w:name="xdx_407_eus-gaap--NetIncomeLoss_zBZHGRUx"/>
            <w:bookmarkEnd w:id="195"/>
          </w:p>
        </w:tc>
      </w:tr>
      <w:tr>
        <w:trPr/>
        <w:tc>
          <w:tcPr>
            <w:tcW w:w="3467" w:type="dxa"/>
            <w:tcBorders/>
            <w:vAlign w:val="center"/>
          </w:tcPr>
          <w:p>
            <w:pPr>
              <w:pStyle w:val="TableContents"/>
              <w:bidi w:val="0"/>
              <w:spacing w:before="0" w:after="283"/>
              <w:jc w:val="left"/>
              <w:rPr>
                <w:sz w:val="20"/>
              </w:rPr>
            </w:pPr>
            <w:r>
              <w:rPr>
                <w:sz w:val="20"/>
              </w:rPr>
              <w:t>Net income for the year ended December 31, 2025</w:t>
            </w:r>
          </w:p>
        </w:tc>
        <w:tc>
          <w:tcPr>
            <w:tcW w:w="60" w:type="dxa"/>
            <w:tcBorders/>
            <w:vAlign w:val="center"/>
          </w:tcPr>
          <w:p>
            <w:pPr>
              <w:pStyle w:val="TableContents"/>
              <w:bidi w:val="0"/>
              <w:spacing w:before="0" w:after="283"/>
              <w:jc w:val="left"/>
              <w:rPr/>
            </w:pPr>
            <w:r>
              <w:rPr/>
              <w:t> </w:t>
            </w:r>
          </w:p>
        </w:tc>
        <w:tc>
          <w:tcPr>
            <w:tcW w:w="700" w:type="dxa"/>
            <w:tcBorders>
              <w:bottom w:val="single" w:sz="8" w:space="0" w:color="000000"/>
            </w:tcBorders>
            <w:tcMar>
              <w:bottom w:w="28" w:type="dxa"/>
            </w:tcMar>
            <w:vAlign w:val="center"/>
          </w:tcPr>
          <w:p>
            <w:pPr>
              <w:pStyle w:val="TableContents"/>
              <w:bidi w:val="0"/>
              <w:spacing w:before="0" w:after="283"/>
              <w:jc w:val="right"/>
              <w:rPr/>
            </w:pPr>
            <w:r>
              <w:rPr/>
              <w:t>—</w:t>
            </w:r>
          </w:p>
        </w:tc>
        <w:tc>
          <w:tcPr>
            <w:tcW w:w="71" w:type="dxa"/>
            <w:tcBorders/>
            <w:vAlign w:val="center"/>
          </w:tcPr>
          <w:p>
            <w:pPr>
              <w:pStyle w:val="TableContents"/>
              <w:bidi w:val="0"/>
              <w:spacing w:before="0" w:after="283"/>
              <w:jc w:val="right"/>
              <w:rPr/>
            </w:pPr>
            <w:r>
              <w:rPr/>
              <w:t> </w:t>
            </w:r>
          </w:p>
        </w:tc>
        <w:tc>
          <w:tcPr>
            <w:tcW w:w="71" w:type="dxa"/>
            <w:tcBorders/>
            <w:vAlign w:val="center"/>
          </w:tcPr>
          <w:p>
            <w:pPr>
              <w:pStyle w:val="TableContents"/>
              <w:bidi w:val="0"/>
              <w:spacing w:before="0" w:after="283"/>
              <w:jc w:val="right"/>
              <w:rPr/>
            </w:pPr>
            <w:r>
              <w:rPr/>
              <w:t> </w:t>
            </w:r>
          </w:p>
        </w:tc>
        <w:tc>
          <w:tcPr>
            <w:tcW w:w="225" w:type="dxa"/>
            <w:tcBorders>
              <w:bottom w:val="single" w:sz="8" w:space="0" w:color="000000"/>
            </w:tcBorders>
            <w:tcMar>
              <w:bottom w:w="28" w:type="dxa"/>
            </w:tcMar>
            <w:vAlign w:val="center"/>
          </w:tcPr>
          <w:p>
            <w:pPr>
              <w:pStyle w:val="TableContents"/>
              <w:bidi w:val="0"/>
              <w:spacing w:before="0" w:after="283"/>
              <w:jc w:val="left"/>
              <w:rPr/>
            </w:pPr>
            <w:r>
              <w:rPr/>
              <w:t> </w:t>
            </w:r>
          </w:p>
        </w:tc>
        <w:tc>
          <w:tcPr>
            <w:tcW w:w="470" w:type="dxa"/>
            <w:tcBorders>
              <w:bottom w:val="single" w:sz="8" w:space="0" w:color="000000"/>
            </w:tcBorders>
            <w:tcMar>
              <w:bottom w:w="28" w:type="dxa"/>
            </w:tcMar>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right"/>
              <w:rPr/>
            </w:pPr>
            <w:r>
              <w:rPr/>
              <w:t> </w:t>
            </w:r>
          </w:p>
        </w:tc>
        <w:tc>
          <w:tcPr>
            <w:tcW w:w="950" w:type="dxa"/>
            <w:tcBorders>
              <w:bottom w:val="single" w:sz="8" w:space="0" w:color="000000"/>
            </w:tcBorders>
            <w:tcMar>
              <w:bottom w:w="28" w:type="dxa"/>
            </w:tcMar>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right"/>
              <w:rPr/>
            </w:pPr>
            <w:r>
              <w:rPr/>
              <w:t> </w:t>
            </w:r>
          </w:p>
        </w:tc>
        <w:tc>
          <w:tcPr>
            <w:tcW w:w="188" w:type="dxa"/>
            <w:tcBorders>
              <w:bottom w:val="single" w:sz="8" w:space="0" w:color="000000"/>
            </w:tcBorders>
            <w:tcMar>
              <w:bottom w:w="28" w:type="dxa"/>
            </w:tcMar>
            <w:vAlign w:val="center"/>
          </w:tcPr>
          <w:p>
            <w:pPr>
              <w:pStyle w:val="TableContents"/>
              <w:bidi w:val="0"/>
              <w:spacing w:before="0" w:after="283"/>
              <w:jc w:val="left"/>
              <w:rPr/>
            </w:pPr>
            <w:r>
              <w:rPr/>
              <w:t> </w:t>
            </w:r>
          </w:p>
        </w:tc>
        <w:tc>
          <w:tcPr>
            <w:tcW w:w="507" w:type="dxa"/>
            <w:tcBorders>
              <w:bottom w:val="single" w:sz="8" w:space="0" w:color="000000"/>
            </w:tcBorders>
            <w:tcMar>
              <w:bottom w:w="28" w:type="dxa"/>
            </w:tcMar>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right"/>
              <w:rPr/>
            </w:pPr>
            <w:r>
              <w:rPr/>
              <w:t> </w:t>
            </w:r>
          </w:p>
        </w:tc>
        <w:tc>
          <w:tcPr>
            <w:tcW w:w="144" w:type="dxa"/>
            <w:tcBorders>
              <w:bottom w:val="single" w:sz="8" w:space="0" w:color="000000"/>
            </w:tcBorders>
            <w:tcMar>
              <w:bottom w:w="28" w:type="dxa"/>
            </w:tcMar>
            <w:vAlign w:val="center"/>
          </w:tcPr>
          <w:p>
            <w:pPr>
              <w:pStyle w:val="TableContents"/>
              <w:bidi w:val="0"/>
              <w:spacing w:before="0" w:after="283"/>
              <w:jc w:val="left"/>
              <w:rPr/>
            </w:pPr>
            <w:r>
              <w:rPr/>
              <w:t> </w:t>
            </w:r>
          </w:p>
        </w:tc>
        <w:tc>
          <w:tcPr>
            <w:tcW w:w="809" w:type="dxa"/>
            <w:tcBorders>
              <w:bottom w:val="single" w:sz="8" w:space="0" w:color="000000"/>
            </w:tcBorders>
            <w:tcMar>
              <w:bottom w:w="28" w:type="dxa"/>
            </w:tcMar>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right"/>
              <w:rPr/>
            </w:pPr>
            <w:r>
              <w:rPr/>
              <w:t> </w:t>
            </w:r>
          </w:p>
        </w:tc>
        <w:tc>
          <w:tcPr>
            <w:tcW w:w="160" w:type="dxa"/>
            <w:tcBorders>
              <w:bottom w:val="single" w:sz="8" w:space="0" w:color="000000"/>
            </w:tcBorders>
            <w:tcMar>
              <w:bottom w:w="28" w:type="dxa"/>
            </w:tcMar>
            <w:vAlign w:val="center"/>
          </w:tcPr>
          <w:p>
            <w:pPr>
              <w:pStyle w:val="TableContents"/>
              <w:bidi w:val="0"/>
              <w:spacing w:before="0" w:after="283"/>
              <w:jc w:val="left"/>
              <w:rPr/>
            </w:pPr>
            <w:r>
              <w:rPr/>
              <w:t> </w:t>
            </w:r>
          </w:p>
        </w:tc>
        <w:tc>
          <w:tcPr>
            <w:tcW w:w="970" w:type="dxa"/>
            <w:tcBorders>
              <w:bottom w:val="single" w:sz="8" w:space="0" w:color="000000"/>
            </w:tcBorders>
            <w:tcMar>
              <w:bottom w:w="28" w:type="dxa"/>
            </w:tcMar>
            <w:vAlign w:val="center"/>
          </w:tcPr>
          <w:p>
            <w:pPr>
              <w:pStyle w:val="TableContents"/>
              <w:bidi w:val="0"/>
              <w:spacing w:before="0" w:after="283"/>
              <w:jc w:val="right"/>
              <w:rPr>
                <w:sz w:val="20"/>
              </w:rPr>
            </w:pPr>
            <w:r>
              <w:rPr>
                <w:sz w:val="20"/>
              </w:rPr>
              <w:t>1,790</w:t>
            </w:r>
          </w:p>
        </w:tc>
        <w:tc>
          <w:tcPr>
            <w:tcW w:w="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right"/>
              <w:rPr/>
            </w:pPr>
            <w:r>
              <w:rPr/>
              <w:t> </w:t>
            </w:r>
          </w:p>
        </w:tc>
        <w:tc>
          <w:tcPr>
            <w:tcW w:w="125" w:type="dxa"/>
            <w:tcBorders>
              <w:bottom w:val="single" w:sz="8" w:space="0" w:color="000000"/>
            </w:tcBorders>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tcMar>
              <w:bottom w:w="28" w:type="dxa"/>
            </w:tcMar>
            <w:vAlign w:val="center"/>
          </w:tcPr>
          <w:p>
            <w:pPr>
              <w:pStyle w:val="TableContents"/>
              <w:bidi w:val="0"/>
              <w:spacing w:before="0" w:after="283"/>
              <w:jc w:val="right"/>
              <w:rPr>
                <w:sz w:val="20"/>
              </w:rPr>
            </w:pPr>
            <w:r>
              <w:rPr>
                <w:sz w:val="20"/>
              </w:rPr>
              <w:t>1,790</w:t>
            </w:r>
          </w:p>
        </w:tc>
        <w:tc>
          <w:tcPr>
            <w:tcW w:w="78" w:type="dxa"/>
            <w:tcBorders/>
            <w:vAlign w:val="center"/>
          </w:tcPr>
          <w:p>
            <w:pPr>
              <w:pStyle w:val="TableContents"/>
              <w:bidi w:val="0"/>
              <w:spacing w:before="0" w:after="283"/>
              <w:ind w:left="0" w:right="0" w:hanging="180"/>
              <w:jc w:val="left"/>
              <w:rPr/>
            </w:pPr>
            <w:r>
              <w:rPr/>
              <w:t> </w:t>
            </w:r>
            <w:bookmarkStart w:id="196" w:name="xdx_431_c20250101__20251231_eus-gaap--St"/>
            <w:bookmarkEnd w:id="196"/>
          </w:p>
        </w:tc>
      </w:tr>
      <w:tr>
        <w:trPr/>
        <w:tc>
          <w:tcPr>
            <w:tcW w:w="3467" w:type="dxa"/>
            <w:tcBorders/>
            <w:shd w:fill="CCEEFF" w:val="clear"/>
            <w:vAlign w:val="center"/>
          </w:tcPr>
          <w:p>
            <w:pPr>
              <w:pStyle w:val="TableContents"/>
              <w:bidi w:val="0"/>
              <w:spacing w:before="0" w:after="283"/>
              <w:jc w:val="left"/>
              <w:rPr>
                <w:sz w:val="20"/>
              </w:rPr>
            </w:pPr>
            <w:r>
              <w:rPr>
                <w:sz w:val="20"/>
              </w:rPr>
              <w:t>Balance on December 31, 2025</w:t>
            </w:r>
          </w:p>
        </w:tc>
        <w:tc>
          <w:tcPr>
            <w:tcW w:w="60" w:type="dxa"/>
            <w:tcBorders/>
            <w:shd w:fill="CCEEFF" w:val="clear"/>
            <w:vAlign w:val="center"/>
          </w:tcPr>
          <w:p>
            <w:pPr>
              <w:pStyle w:val="TableContents"/>
              <w:bidi w:val="0"/>
              <w:spacing w:before="0" w:after="283"/>
              <w:jc w:val="left"/>
              <w:rPr/>
            </w:pPr>
            <w:r>
              <w:rPr/>
              <w:t> </w:t>
            </w:r>
            <w:bookmarkStart w:id="197" w:name="xdx_98A_eus-gaap--SharesOutstanding_iE_p"/>
            <w:bookmarkEnd w:id="197"/>
          </w:p>
        </w:tc>
        <w:tc>
          <w:tcPr>
            <w:tcW w:w="700"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71" w:type="dxa"/>
            <w:tcBorders/>
            <w:shd w:fill="CCEEFF" w:val="clear"/>
            <w:vAlign w:val="center"/>
          </w:tcPr>
          <w:p>
            <w:pPr>
              <w:pStyle w:val="TableContents"/>
              <w:bidi w:val="0"/>
              <w:spacing w:before="0" w:after="283"/>
              <w:jc w:val="right"/>
              <w:rPr/>
            </w:pPr>
            <w:r>
              <w:rPr/>
              <w:t> </w:t>
            </w:r>
          </w:p>
        </w:tc>
        <w:tc>
          <w:tcPr>
            <w:tcW w:w="71" w:type="dxa"/>
            <w:tcBorders/>
            <w:shd w:fill="CCEEFF" w:val="clear"/>
            <w:vAlign w:val="center"/>
          </w:tcPr>
          <w:p>
            <w:pPr>
              <w:pStyle w:val="TableContents"/>
              <w:bidi w:val="0"/>
              <w:spacing w:before="0" w:after="283"/>
              <w:jc w:val="right"/>
              <w:rPr/>
            </w:pPr>
            <w:r>
              <w:rPr/>
              <w:t> </w:t>
            </w:r>
          </w:p>
        </w:tc>
        <w:tc>
          <w:tcPr>
            <w:tcW w:w="22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470"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bookmarkStart w:id="198" w:name="xdx_986_eus-gaap--SharesOutstanding_iE_p"/>
            <w:bookmarkEnd w:id="198"/>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70,614,045</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188"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507"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706</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144"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809"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115,566</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160"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970"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(98,638</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righ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bookmarkStart w:id="199" w:name="xdx_98C_eus-gaap--StockholdersEquity_iE_"/>
            <w:bookmarkEnd w:id="199"/>
          </w:p>
        </w:tc>
        <w:tc>
          <w:tcPr>
            <w:tcW w:w="590"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17,634</w:t>
            </w:r>
          </w:p>
        </w:tc>
        <w:tc>
          <w:tcPr>
            <w:tcW w:w="78" w:type="dxa"/>
            <w:tcBorders/>
            <w:shd w:fill="CCEEFF" w:val="clear"/>
            <w:vAlign w:val="center"/>
          </w:tcPr>
          <w:p>
            <w:pPr>
              <w:pStyle w:val="TableContents"/>
              <w:bidi w:val="0"/>
              <w:spacing w:before="0" w:after="283"/>
              <w:ind w:left="0" w:right="0" w:hanging="180"/>
              <w:jc w:val="left"/>
              <w:rPr/>
            </w:pPr>
            <w:r>
              <w:rPr/>
              <w:t> </w:t>
            </w:r>
          </w:p>
        </w:tc>
      </w:tr>
      <w:tr>
        <w:trPr/>
        <w:tc>
          <w:tcPr>
            <w:tcW w:w="346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tcBorders/>
            <w:vAlign w:val="center"/>
          </w:tcPr>
          <w:p>
            <w:pPr>
              <w:pStyle w:val="TableContents"/>
              <w:bidi w:val="0"/>
              <w:spacing w:before="0" w:after="283"/>
              <w:jc w:val="right"/>
              <w:rPr/>
            </w:pPr>
            <w:r>
              <w:rPr/>
              <w:t> </w:t>
            </w:r>
          </w:p>
        </w:tc>
        <w:tc>
          <w:tcPr>
            <w:tcW w:w="71" w:type="dxa"/>
            <w:tcBorders/>
            <w:vAlign w:val="center"/>
          </w:tcPr>
          <w:p>
            <w:pPr>
              <w:pStyle w:val="TableContents"/>
              <w:bidi w:val="0"/>
              <w:spacing w:before="0" w:after="283"/>
              <w:jc w:val="right"/>
              <w:rPr/>
            </w:pPr>
            <w:r>
              <w:rPr/>
              <w:t> </w:t>
            </w:r>
          </w:p>
        </w:tc>
        <w:tc>
          <w:tcPr>
            <w:tcW w:w="71" w:type="dxa"/>
            <w:tcBorders/>
            <w:vAlign w:val="center"/>
          </w:tcPr>
          <w:p>
            <w:pPr>
              <w:pStyle w:val="TableContents"/>
              <w:bidi w:val="0"/>
              <w:spacing w:before="0" w:after="283"/>
              <w:jc w:val="right"/>
              <w:rPr/>
            </w:pPr>
            <w:r>
              <w:rPr/>
              <w:t> </w:t>
            </w:r>
          </w:p>
        </w:tc>
        <w:tc>
          <w:tcPr>
            <w:tcW w:w="22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right"/>
              <w:rPr/>
            </w:pPr>
            <w:r>
              <w:rPr/>
              <w:t> </w:t>
            </w:r>
          </w:p>
        </w:tc>
        <w:tc>
          <w:tcPr>
            <w:tcW w:w="95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right"/>
              <w:rPr/>
            </w:pPr>
            <w:r>
              <w:rPr/>
              <w:t> </w:t>
            </w:r>
          </w:p>
        </w:tc>
        <w:tc>
          <w:tcPr>
            <w:tcW w:w="188" w:type="dxa"/>
            <w:tcBorders/>
            <w:vAlign w:val="center"/>
          </w:tcPr>
          <w:p>
            <w:pPr>
              <w:pStyle w:val="TableContents"/>
              <w:bidi w:val="0"/>
              <w:spacing w:before="0" w:after="283"/>
              <w:jc w:val="left"/>
              <w:rPr/>
            </w:pPr>
            <w:r>
              <w:rPr/>
              <w:t> </w:t>
            </w:r>
          </w:p>
        </w:tc>
        <w:tc>
          <w:tcPr>
            <w:tcW w:w="50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right"/>
              <w:rPr/>
            </w:pPr>
            <w:r>
              <w:rPr/>
              <w:t> </w:t>
            </w:r>
          </w:p>
        </w:tc>
        <w:tc>
          <w:tcPr>
            <w:tcW w:w="144" w:type="dxa"/>
            <w:tcBorders/>
            <w:vAlign w:val="center"/>
          </w:tcPr>
          <w:p>
            <w:pPr>
              <w:pStyle w:val="TableContents"/>
              <w:bidi w:val="0"/>
              <w:spacing w:before="0" w:after="283"/>
              <w:jc w:val="left"/>
              <w:rPr/>
            </w:pPr>
            <w:r>
              <w:rPr/>
              <w:t> </w:t>
            </w:r>
          </w:p>
        </w:tc>
        <w:tc>
          <w:tcPr>
            <w:tcW w:w="80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right"/>
              <w:rPr/>
            </w:pPr>
            <w:r>
              <w:rPr/>
              <w:t> </w:t>
            </w:r>
          </w:p>
        </w:tc>
        <w:tc>
          <w:tcPr>
            <w:tcW w:w="160" w:type="dxa"/>
            <w:tcBorders/>
            <w:vAlign w:val="center"/>
          </w:tcPr>
          <w:p>
            <w:pPr>
              <w:pStyle w:val="TableContents"/>
              <w:bidi w:val="0"/>
              <w:spacing w:before="0" w:after="283"/>
              <w:jc w:val="left"/>
              <w:rPr/>
            </w:pPr>
            <w:r>
              <w:rPr/>
              <w:t> </w:t>
            </w:r>
          </w:p>
        </w:tc>
        <w:tc>
          <w:tcPr>
            <w:tcW w:w="970"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 </w:t>
            </w:r>
          </w:p>
        </w:tc>
        <w:tc>
          <w:tcPr>
            <w:tcW w:w="78" w:type="dxa"/>
            <w:tcBorders/>
            <w:vAlign w:val="center"/>
          </w:tcPr>
          <w:p>
            <w:pPr>
              <w:pStyle w:val="TableContents"/>
              <w:bidi w:val="0"/>
              <w:spacing w:before="0" w:after="283"/>
              <w:jc w:val="left"/>
              <w:rPr/>
            </w:pPr>
            <w:r>
              <w:rPr/>
              <w:t> </w:t>
            </w:r>
          </w:p>
        </w:tc>
      </w:tr>
    </w:tbl>
    <w:p>
      <w:pPr>
        <w:pStyle w:val="TextBody"/>
        <w:bidi w:val="0"/>
        <w:spacing w:before="0" w:after="0"/>
        <w:ind w:left="44" w:right="44"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(See accompanying Notes to Consolidated Financial Statements)</w:t>
      </w:r>
    </w:p>
    <w:p>
      <w:pPr>
        <w:pStyle w:val="TextBody"/>
        <w:bidi w:val="0"/>
        <w:spacing w:before="0" w:after="0"/>
        <w:ind w:left="44" w:right="44"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F-6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SOLÉSENCE,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00" w:name="solesence10kb005"/>
      <w:bookmarkEnd w:id="200"/>
      <w:r>
        <w:rPr>
          <w:rFonts w:ascii="Times New Roman;Times;Serif" w:hAnsi="Times New Roman;Times;Serif"/>
          <w:b/>
          <w:i w:val="false"/>
          <w:caps w:val="false"/>
          <w:smallCaps w:val="false"/>
          <w:sz w:val="20"/>
        </w:rPr>
        <w:t>CONSOLIDATED STATEMENTS OF CASH FLOWS</w:t>
      </w:r>
    </w:p>
    <w:p>
      <w:pPr>
        <w:pStyle w:val="Normal"/>
        <w:bidi w:val="0"/>
        <w:spacing w:before="0" w:after="0"/>
        <w:ind w:left="0" w:right="0" w:hanging="0"/>
        <w:jc w:val="left"/>
        <w:rPr>
          <w:sz w:val="4"/>
          <w:szCs w:val="4"/>
        </w:rPr>
      </w:pPr>
      <w:r>
        <w:rPr>
          <w:sz w:val="4"/>
          <w:szCs w:val="4"/>
        </w:rPr>
      </w:r>
      <w:bookmarkStart w:id="201" w:name="xdx_30B_112_pn3n3_zXsvOhmuCQRg"/>
      <w:bookmarkStart w:id="202" w:name="xdx_30B_112_pn3n3_zXsvOhmuCQRg"/>
      <w:bookmarkEnd w:id="202"/>
    </w:p>
    <w:tbl>
      <w:tblPr>
        <w:tblW w:w="9417" w:type="dxa"/>
        <w:jc w:val="left"/>
        <w:tblInd w:w="0" w:type="dxa"/>
        <w:tblLayout w:type="fixed"/>
        <w:tblCellMar>
          <w:top w:w="0" w:type="dxa"/>
          <w:left w:w="0" w:type="dxa"/>
          <w:bottom w:w="0" w:type="dxa"/>
          <w:right w:w="0" w:type="dxa"/>
        </w:tblCellMar>
      </w:tblPr>
      <w:tblGrid>
        <w:gridCol w:w="7085"/>
        <w:gridCol w:w="60"/>
        <w:gridCol w:w="165"/>
        <w:gridCol w:w="781"/>
        <w:gridCol w:w="106"/>
        <w:gridCol w:w="79"/>
        <w:gridCol w:w="185"/>
        <w:gridCol w:w="861"/>
        <w:gridCol w:w="95"/>
      </w:tblGrid>
      <w:tr>
        <w:trPr/>
        <w:tc>
          <w:tcPr>
            <w:tcW w:w="70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65" w:type="dxa"/>
            <w:tcBorders/>
            <w:vAlign w:val="center"/>
          </w:tcPr>
          <w:p>
            <w:pPr>
              <w:pStyle w:val="TableContents"/>
              <w:bidi w:val="0"/>
              <w:spacing w:before="0" w:after="283"/>
              <w:jc w:val="left"/>
              <w:rPr/>
            </w:pPr>
            <w:r>
              <w:rPr/>
              <w:t> </w:t>
            </w:r>
            <w:bookmarkStart w:id="203" w:name="xdx_498_20250101__20251231_zLoLxT8S2qM"/>
            <w:bookmarkEnd w:id="203"/>
          </w:p>
        </w:tc>
        <w:tc>
          <w:tcPr>
            <w:tcW w:w="781" w:type="dxa"/>
            <w:tcBorders/>
            <w:vAlign w:val="center"/>
          </w:tcPr>
          <w:p>
            <w:pPr>
              <w:pStyle w:val="TableContents"/>
              <w:bidi w:val="0"/>
              <w:spacing w:before="0" w:after="283"/>
              <w:jc w:val="center"/>
              <w:rPr/>
            </w:pPr>
            <w:r>
              <w:rPr/>
              <w:t> </w:t>
            </w:r>
          </w:p>
        </w:tc>
        <w:tc>
          <w:tcPr>
            <w:tcW w:w="106" w:type="dxa"/>
            <w:tcBorders/>
            <w:vAlign w:val="center"/>
          </w:tcPr>
          <w:p>
            <w:pPr>
              <w:pStyle w:val="TableContents"/>
              <w:bidi w:val="0"/>
              <w:spacing w:before="0" w:after="283"/>
              <w:jc w:val="center"/>
              <w:rPr/>
            </w:pPr>
            <w:r>
              <w:rPr/>
              <w:t> </w:t>
            </w:r>
          </w:p>
        </w:tc>
        <w:tc>
          <w:tcPr>
            <w:tcW w:w="79" w:type="dxa"/>
            <w:tcBorders/>
            <w:vAlign w:val="center"/>
          </w:tcPr>
          <w:p>
            <w:pPr>
              <w:pStyle w:val="TableContents"/>
              <w:bidi w:val="0"/>
              <w:spacing w:before="0" w:after="283"/>
              <w:jc w:val="center"/>
              <w:rPr/>
            </w:pPr>
            <w:r>
              <w:rPr/>
              <w:t> </w:t>
            </w:r>
          </w:p>
        </w:tc>
        <w:tc>
          <w:tcPr>
            <w:tcW w:w="185" w:type="dxa"/>
            <w:tcBorders/>
            <w:vAlign w:val="center"/>
          </w:tcPr>
          <w:p>
            <w:pPr>
              <w:pStyle w:val="TableContents"/>
              <w:bidi w:val="0"/>
              <w:spacing w:before="0" w:after="283"/>
              <w:jc w:val="center"/>
              <w:rPr/>
            </w:pPr>
            <w:r>
              <w:rPr/>
              <w:t> </w:t>
            </w:r>
            <w:bookmarkStart w:id="204" w:name="xdx_499_20240101__20241231_znkhzNbZ2qoh"/>
            <w:bookmarkEnd w:id="204"/>
          </w:p>
        </w:tc>
        <w:tc>
          <w:tcPr>
            <w:tcW w:w="861" w:type="dxa"/>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r>
      <w:tr>
        <w:trPr/>
        <w:tc>
          <w:tcPr>
            <w:tcW w:w="70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177"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Year ended December 31,</w:t>
            </w:r>
          </w:p>
        </w:tc>
        <w:tc>
          <w:tcPr>
            <w:tcW w:w="95" w:type="dxa"/>
            <w:tcBorders/>
            <w:vAlign w:val="center"/>
          </w:tcPr>
          <w:p>
            <w:pPr>
              <w:pStyle w:val="TableContents"/>
              <w:bidi w:val="0"/>
              <w:spacing w:before="0" w:after="283"/>
              <w:jc w:val="center"/>
              <w:rPr/>
            </w:pPr>
            <w:r>
              <w:rPr/>
              <w:t> </w:t>
            </w:r>
          </w:p>
        </w:tc>
      </w:tr>
      <w:tr>
        <w:trPr/>
        <w:tc>
          <w:tcPr>
            <w:tcW w:w="70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46"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106" w:type="dxa"/>
            <w:tcBorders/>
            <w:vAlign w:val="center"/>
          </w:tcPr>
          <w:p>
            <w:pPr>
              <w:pStyle w:val="TableContents"/>
              <w:bidi w:val="0"/>
              <w:spacing w:before="0" w:after="283"/>
              <w:jc w:val="center"/>
              <w:rPr/>
            </w:pPr>
            <w:r>
              <w:rPr/>
              <w:t> </w:t>
            </w:r>
          </w:p>
        </w:tc>
        <w:tc>
          <w:tcPr>
            <w:tcW w:w="79" w:type="dxa"/>
            <w:tcBorders/>
            <w:vAlign w:val="center"/>
          </w:tcPr>
          <w:p>
            <w:pPr>
              <w:pStyle w:val="TableContents"/>
              <w:bidi w:val="0"/>
              <w:spacing w:before="0" w:after="283"/>
              <w:jc w:val="center"/>
              <w:rPr/>
            </w:pPr>
            <w:r>
              <w:rPr/>
              <w:t> </w:t>
            </w:r>
          </w:p>
        </w:tc>
        <w:tc>
          <w:tcPr>
            <w:tcW w:w="1046"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2024</w:t>
            </w:r>
          </w:p>
        </w:tc>
        <w:tc>
          <w:tcPr>
            <w:tcW w:w="95" w:type="dxa"/>
            <w:tcBorders/>
            <w:vAlign w:val="center"/>
          </w:tcPr>
          <w:p>
            <w:pPr>
              <w:pStyle w:val="TableContents"/>
              <w:bidi w:val="0"/>
              <w:spacing w:before="0" w:after="283"/>
              <w:jc w:val="center"/>
              <w:rPr/>
            </w:pPr>
            <w:r>
              <w:rPr/>
              <w:t> </w:t>
            </w:r>
          </w:p>
        </w:tc>
      </w:tr>
      <w:tr>
        <w:trPr/>
        <w:tc>
          <w:tcPr>
            <w:tcW w:w="70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177" w:type="dxa"/>
            <w:gridSpan w:val="6"/>
            <w:tcBorders/>
            <w:vAlign w:val="center"/>
          </w:tcPr>
          <w:p>
            <w:pPr>
              <w:pStyle w:val="TableContents"/>
              <w:bidi w:val="0"/>
              <w:spacing w:before="0" w:after="283"/>
              <w:jc w:val="center"/>
              <w:rPr>
                <w:b/>
                <w:sz w:val="20"/>
              </w:rPr>
            </w:pPr>
            <w:r>
              <w:rPr>
                <w:b/>
                <w:sz w:val="20"/>
              </w:rPr>
              <w:t>(in thousands)</w:t>
            </w:r>
          </w:p>
        </w:tc>
        <w:tc>
          <w:tcPr>
            <w:tcW w:w="95" w:type="dxa"/>
            <w:tcBorders/>
            <w:vAlign w:val="center"/>
          </w:tcPr>
          <w:p>
            <w:pPr>
              <w:pStyle w:val="TableContents"/>
              <w:bidi w:val="0"/>
              <w:spacing w:before="0" w:after="283"/>
              <w:jc w:val="center"/>
              <w:rPr/>
            </w:pPr>
            <w:r>
              <w:rPr/>
              <w:t> </w:t>
            </w:r>
            <w:bookmarkStart w:id="205" w:name="xdx_402_eus-gaap--NetCashProvidedByUsedI"/>
            <w:bookmarkEnd w:id="205"/>
          </w:p>
        </w:tc>
      </w:tr>
      <w:tr>
        <w:trPr/>
        <w:tc>
          <w:tcPr>
            <w:tcW w:w="7085" w:type="dxa"/>
            <w:tcBorders/>
            <w:vAlign w:val="center"/>
          </w:tcPr>
          <w:p>
            <w:pPr>
              <w:pStyle w:val="TableContents"/>
              <w:bidi w:val="0"/>
              <w:spacing w:before="0" w:after="283"/>
              <w:jc w:val="left"/>
              <w:rPr>
                <w:b/>
                <w:sz w:val="20"/>
              </w:rPr>
            </w:pPr>
            <w:r>
              <w:rPr>
                <w:b/>
                <w:sz w:val="20"/>
              </w:rPr>
              <w:t>Operating activities:</w:t>
            </w:r>
          </w:p>
        </w:tc>
        <w:tc>
          <w:tcPr>
            <w:tcW w:w="60"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pPr>
            <w:r>
              <w:rPr/>
              <w:t> </w:t>
            </w:r>
          </w:p>
        </w:tc>
        <w:tc>
          <w:tcPr>
            <w:tcW w:w="781" w:type="dxa"/>
            <w:tcBorders/>
            <w:vAlign w:val="center"/>
          </w:tcPr>
          <w:p>
            <w:pPr>
              <w:pStyle w:val="TableContents"/>
              <w:bidi w:val="0"/>
              <w:spacing w:before="0" w:after="283"/>
              <w:jc w:val="right"/>
              <w:rPr/>
            </w:pPr>
            <w:r>
              <w:rPr/>
              <w:t> </w:t>
            </w:r>
          </w:p>
        </w:tc>
        <w:tc>
          <w:tcPr>
            <w:tcW w:w="106"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right"/>
              <w:rPr/>
            </w:pPr>
            <w:r>
              <w:rPr/>
              <w:t> </w:t>
            </w:r>
          </w:p>
        </w:tc>
        <w:tc>
          <w:tcPr>
            <w:tcW w:w="861"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bookmarkStart w:id="206" w:name="xdx_403_eus-gaap--NetIncomeLoss_i01_maNC"/>
            <w:bookmarkEnd w:id="206"/>
          </w:p>
        </w:tc>
      </w:tr>
      <w:tr>
        <w:trPr/>
        <w:tc>
          <w:tcPr>
            <w:tcW w:w="7085" w:type="dxa"/>
            <w:tcBorders/>
            <w:shd w:fill="CCEEFF" w:val="clear"/>
            <w:vAlign w:val="center"/>
          </w:tcPr>
          <w:p>
            <w:pPr>
              <w:pStyle w:val="TableContents"/>
              <w:bidi w:val="0"/>
              <w:spacing w:before="0" w:after="283"/>
              <w:jc w:val="left"/>
              <w:rPr>
                <w:sz w:val="20"/>
              </w:rPr>
            </w:pPr>
            <w:r>
              <w:rPr>
                <w:sz w:val="20"/>
              </w:rPr>
              <w:t>Net income</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sz w:val="20"/>
              </w:rPr>
            </w:pPr>
            <w:r>
              <w:rPr>
                <w:sz w:val="20"/>
              </w:rPr>
              <w:t>$</w:t>
            </w:r>
          </w:p>
        </w:tc>
        <w:tc>
          <w:tcPr>
            <w:tcW w:w="781" w:type="dxa"/>
            <w:tcBorders/>
            <w:shd w:fill="CCEEFF" w:val="clear"/>
            <w:vAlign w:val="center"/>
          </w:tcPr>
          <w:p>
            <w:pPr>
              <w:pStyle w:val="TableContents"/>
              <w:bidi w:val="0"/>
              <w:spacing w:before="0" w:after="283"/>
              <w:jc w:val="right"/>
              <w:rPr>
                <w:sz w:val="20"/>
              </w:rPr>
            </w:pPr>
            <w:r>
              <w:rPr>
                <w:sz w:val="20"/>
              </w:rPr>
              <w:t>1,790</w:t>
            </w:r>
          </w:p>
        </w:tc>
        <w:tc>
          <w:tcPr>
            <w:tcW w:w="106"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w:t>
            </w:r>
          </w:p>
        </w:tc>
        <w:tc>
          <w:tcPr>
            <w:tcW w:w="861" w:type="dxa"/>
            <w:tcBorders/>
            <w:shd w:fill="CCEEFF" w:val="clear"/>
            <w:vAlign w:val="center"/>
          </w:tcPr>
          <w:p>
            <w:pPr>
              <w:pStyle w:val="TableContents"/>
              <w:bidi w:val="0"/>
              <w:spacing w:before="0" w:after="283"/>
              <w:jc w:val="right"/>
              <w:rPr>
                <w:sz w:val="20"/>
              </w:rPr>
            </w:pPr>
            <w:r>
              <w:rPr>
                <w:sz w:val="20"/>
              </w:rPr>
              <w:t>4,235</w:t>
            </w:r>
          </w:p>
        </w:tc>
        <w:tc>
          <w:tcPr>
            <w:tcW w:w="95" w:type="dxa"/>
            <w:tcBorders/>
            <w:shd w:fill="CCEEFF" w:val="clear"/>
            <w:vAlign w:val="center"/>
          </w:tcPr>
          <w:p>
            <w:pPr>
              <w:pStyle w:val="TableContents"/>
              <w:bidi w:val="0"/>
              <w:spacing w:before="0" w:after="283"/>
              <w:jc w:val="left"/>
              <w:rPr/>
            </w:pPr>
            <w:r>
              <w:rPr/>
              <w:t> </w:t>
            </w:r>
            <w:bookmarkStart w:id="207" w:name="xdx_40D_eus-gaap--AdjustmentsToReconcile"/>
            <w:bookmarkEnd w:id="207"/>
          </w:p>
        </w:tc>
      </w:tr>
      <w:tr>
        <w:trPr/>
        <w:tc>
          <w:tcPr>
            <w:tcW w:w="7085" w:type="dxa"/>
            <w:tcBorders/>
            <w:shd w:fill="FFFFFF" w:val="clear"/>
            <w:vAlign w:val="center"/>
          </w:tcPr>
          <w:p>
            <w:pPr>
              <w:pStyle w:val="TableContents"/>
              <w:bidi w:val="0"/>
              <w:spacing w:before="0" w:after="283"/>
              <w:jc w:val="left"/>
              <w:rPr>
                <w:sz w:val="20"/>
              </w:rPr>
            </w:pPr>
            <w:r>
              <w:rPr>
                <w:sz w:val="20"/>
              </w:rPr>
              <w:t>Adjustments to reconcile net income to cash (used in) provided by operating activities:</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pPr>
            <w:r>
              <w:rPr/>
              <w:t> </w:t>
            </w:r>
          </w:p>
        </w:tc>
        <w:tc>
          <w:tcPr>
            <w:tcW w:w="106"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right"/>
              <w:rPr/>
            </w:pPr>
            <w:r>
              <w:rPr/>
              <w:t> </w:t>
            </w:r>
          </w:p>
        </w:tc>
        <w:tc>
          <w:tcPr>
            <w:tcW w:w="86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bookmarkStart w:id="208" w:name="xdx_407_eus-gaap--DepreciationDepletionA"/>
            <w:bookmarkEnd w:id="208"/>
          </w:p>
        </w:tc>
      </w:tr>
      <w:tr>
        <w:trPr/>
        <w:tc>
          <w:tcPr>
            <w:tcW w:w="7085" w:type="dxa"/>
            <w:tcBorders/>
            <w:shd w:fill="CCEEFF" w:val="clear"/>
            <w:vAlign w:val="center"/>
          </w:tcPr>
          <w:p>
            <w:pPr>
              <w:pStyle w:val="TableContents"/>
              <w:bidi w:val="0"/>
              <w:spacing w:before="0" w:after="283"/>
              <w:jc w:val="left"/>
              <w:rPr>
                <w:sz w:val="20"/>
              </w:rPr>
            </w:pPr>
            <w:r>
              <w:rPr>
                <w:sz w:val="20"/>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781" w:type="dxa"/>
            <w:tcBorders/>
            <w:shd w:fill="CCEEFF" w:val="clear"/>
            <w:vAlign w:val="center"/>
          </w:tcPr>
          <w:p>
            <w:pPr>
              <w:pStyle w:val="TableContents"/>
              <w:bidi w:val="0"/>
              <w:spacing w:before="0" w:after="283"/>
              <w:jc w:val="right"/>
              <w:rPr>
                <w:sz w:val="20"/>
              </w:rPr>
            </w:pPr>
            <w:r>
              <w:rPr>
                <w:sz w:val="20"/>
              </w:rPr>
              <w:t>897</w:t>
            </w:r>
          </w:p>
        </w:tc>
        <w:tc>
          <w:tcPr>
            <w:tcW w:w="106"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861" w:type="dxa"/>
            <w:tcBorders/>
            <w:shd w:fill="CCEEFF" w:val="clear"/>
            <w:vAlign w:val="center"/>
          </w:tcPr>
          <w:p>
            <w:pPr>
              <w:pStyle w:val="TableContents"/>
              <w:bidi w:val="0"/>
              <w:spacing w:before="0" w:after="283"/>
              <w:jc w:val="right"/>
              <w:rPr>
                <w:sz w:val="20"/>
              </w:rPr>
            </w:pPr>
            <w:r>
              <w:rPr>
                <w:sz w:val="20"/>
              </w:rPr>
              <w:t>928</w:t>
            </w:r>
          </w:p>
        </w:tc>
        <w:tc>
          <w:tcPr>
            <w:tcW w:w="95" w:type="dxa"/>
            <w:tcBorders/>
            <w:shd w:fill="CCEEFF" w:val="clear"/>
            <w:vAlign w:val="center"/>
          </w:tcPr>
          <w:p>
            <w:pPr>
              <w:pStyle w:val="TableContents"/>
              <w:bidi w:val="0"/>
              <w:spacing w:before="0" w:after="283"/>
              <w:jc w:val="left"/>
              <w:rPr/>
            </w:pPr>
            <w:r>
              <w:rPr/>
              <w:t> </w:t>
            </w:r>
            <w:bookmarkStart w:id="209" w:name="xdx_402_eus-gaap--ShareBasedCompensation"/>
            <w:bookmarkEnd w:id="209"/>
          </w:p>
        </w:tc>
      </w:tr>
      <w:tr>
        <w:trPr/>
        <w:tc>
          <w:tcPr>
            <w:tcW w:w="7085" w:type="dxa"/>
            <w:tcBorders/>
            <w:shd w:fill="FFFFFF" w:val="clear"/>
            <w:vAlign w:val="center"/>
          </w:tcPr>
          <w:p>
            <w:pPr>
              <w:pStyle w:val="TableContents"/>
              <w:bidi w:val="0"/>
              <w:spacing w:before="0" w:after="283"/>
              <w:jc w:val="left"/>
              <w:rPr>
                <w:sz w:val="20"/>
              </w:rPr>
            </w:pPr>
            <w:r>
              <w:rPr>
                <w:sz w:val="20"/>
              </w:rPr>
              <w:t>Stock-based compensation</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sz w:val="20"/>
              </w:rPr>
            </w:pPr>
            <w:r>
              <w:rPr>
                <w:sz w:val="20"/>
              </w:rPr>
              <w:t>575</w:t>
            </w:r>
          </w:p>
        </w:tc>
        <w:tc>
          <w:tcPr>
            <w:tcW w:w="106"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right"/>
              <w:rPr>
                <w:sz w:val="20"/>
              </w:rPr>
            </w:pPr>
            <w:r>
              <w:rPr>
                <w:sz w:val="20"/>
              </w:rPr>
              <w:t>725</w:t>
            </w:r>
          </w:p>
        </w:tc>
        <w:tc>
          <w:tcPr>
            <w:tcW w:w="95" w:type="dxa"/>
            <w:tcBorders/>
            <w:shd w:fill="FFFFFF" w:val="clear"/>
            <w:vAlign w:val="center"/>
          </w:tcPr>
          <w:p>
            <w:pPr>
              <w:pStyle w:val="TableContents"/>
              <w:bidi w:val="0"/>
              <w:spacing w:before="0" w:after="283"/>
              <w:jc w:val="left"/>
              <w:rPr/>
            </w:pPr>
            <w:r>
              <w:rPr/>
              <w:t> </w:t>
            </w:r>
            <w:bookmarkStart w:id="210" w:name="xdx_40F_eus-gaap--IncreaseDecreaseInOper"/>
            <w:bookmarkEnd w:id="210"/>
          </w:p>
        </w:tc>
      </w:tr>
      <w:tr>
        <w:trPr/>
        <w:tc>
          <w:tcPr>
            <w:tcW w:w="7085" w:type="dxa"/>
            <w:tcBorders/>
            <w:shd w:fill="CCEEFF" w:val="clear"/>
            <w:vAlign w:val="center"/>
          </w:tcPr>
          <w:p>
            <w:pPr>
              <w:pStyle w:val="TableContents"/>
              <w:bidi w:val="0"/>
              <w:spacing w:before="0" w:after="283"/>
              <w:jc w:val="left"/>
              <w:rPr>
                <w:sz w:val="20"/>
              </w:rPr>
            </w:pPr>
            <w:r>
              <w:rPr>
                <w:sz w:val="20"/>
              </w:rPr>
              <w:t>Changes in assets and liabilities related to operations:</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781" w:type="dxa"/>
            <w:tcBorders/>
            <w:shd w:fill="CCEEFF" w:val="clear"/>
            <w:vAlign w:val="center"/>
          </w:tcPr>
          <w:p>
            <w:pPr>
              <w:pStyle w:val="TableContents"/>
              <w:bidi w:val="0"/>
              <w:spacing w:before="0" w:after="283"/>
              <w:jc w:val="right"/>
              <w:rPr/>
            </w:pPr>
            <w:r>
              <w:rPr/>
              <w:t> </w:t>
            </w:r>
          </w:p>
        </w:tc>
        <w:tc>
          <w:tcPr>
            <w:tcW w:w="106"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86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bookmarkStart w:id="211" w:name="xdx_403_eus-gaap--IncreaseDecreaseInAcco"/>
            <w:bookmarkEnd w:id="211"/>
          </w:p>
        </w:tc>
      </w:tr>
      <w:tr>
        <w:trPr/>
        <w:tc>
          <w:tcPr>
            <w:tcW w:w="7085" w:type="dxa"/>
            <w:tcBorders/>
            <w:shd w:fill="FFFFFF" w:val="clear"/>
            <w:vAlign w:val="center"/>
          </w:tcPr>
          <w:p>
            <w:pPr>
              <w:pStyle w:val="TableContents"/>
              <w:bidi w:val="0"/>
              <w:spacing w:before="0" w:after="283"/>
              <w:jc w:val="left"/>
              <w:rPr>
                <w:sz w:val="20"/>
              </w:rPr>
            </w:pPr>
            <w:r>
              <w:rPr>
                <w:sz w:val="20"/>
              </w:rPr>
              <w:t>Trade accounts receivable, net</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sz w:val="20"/>
              </w:rPr>
            </w:pPr>
            <w:r>
              <w:rPr>
                <w:sz w:val="20"/>
              </w:rPr>
              <w:t>(1,967</w:t>
            </w:r>
          </w:p>
        </w:tc>
        <w:tc>
          <w:tcPr>
            <w:tcW w:w="106" w:type="dxa"/>
            <w:tcBorders/>
            <w:shd w:fill="FFFFFF" w:val="clear"/>
            <w:vAlign w:val="center"/>
          </w:tcPr>
          <w:p>
            <w:pPr>
              <w:pStyle w:val="TableContents"/>
              <w:bidi w:val="0"/>
              <w:spacing w:before="0" w:after="283"/>
              <w:jc w:val="left"/>
              <w:rPr>
                <w:sz w:val="20"/>
              </w:rPr>
            </w:pPr>
            <w:r>
              <w:rPr>
                <w:sz w:val="20"/>
              </w:rPr>
              <w:t>)</w:t>
            </w:r>
          </w:p>
        </w:tc>
        <w:tc>
          <w:tcPr>
            <w:tcW w:w="79"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right"/>
              <w:rPr>
                <w:sz w:val="20"/>
              </w:rPr>
            </w:pPr>
            <w:r>
              <w:rPr>
                <w:sz w:val="20"/>
              </w:rPr>
              <w:t>(1,402</w:t>
            </w:r>
          </w:p>
        </w:tc>
        <w:tc>
          <w:tcPr>
            <w:tcW w:w="95" w:type="dxa"/>
            <w:tcBorders/>
            <w:shd w:fill="FFFFFF" w:val="clear"/>
            <w:vAlign w:val="center"/>
          </w:tcPr>
          <w:p>
            <w:pPr>
              <w:pStyle w:val="TableContents"/>
              <w:bidi w:val="0"/>
              <w:spacing w:before="0" w:after="283"/>
              <w:jc w:val="left"/>
              <w:rPr>
                <w:sz w:val="20"/>
              </w:rPr>
            </w:pPr>
            <w:r>
              <w:rPr>
                <w:sz w:val="20"/>
              </w:rPr>
              <w:t>)</w:t>
            </w:r>
            <w:bookmarkStart w:id="212" w:name="xdx_401_eus-gaap--IncreaseDecreaseInInve"/>
            <w:bookmarkEnd w:id="212"/>
          </w:p>
        </w:tc>
      </w:tr>
      <w:tr>
        <w:trPr/>
        <w:tc>
          <w:tcPr>
            <w:tcW w:w="7085" w:type="dxa"/>
            <w:tcBorders/>
            <w:shd w:fill="CCEEFF" w:val="clear"/>
            <w:vAlign w:val="center"/>
          </w:tcPr>
          <w:p>
            <w:pPr>
              <w:pStyle w:val="TableContents"/>
              <w:bidi w:val="0"/>
              <w:spacing w:before="0" w:after="283"/>
              <w:jc w:val="left"/>
              <w:rPr>
                <w:sz w:val="20"/>
              </w:rPr>
            </w:pPr>
            <w:r>
              <w:rPr>
                <w:sz w:val="20"/>
              </w:rPr>
              <w:t>Inventories, net</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781" w:type="dxa"/>
            <w:tcBorders/>
            <w:shd w:fill="CCEEFF" w:val="clear"/>
            <w:vAlign w:val="center"/>
          </w:tcPr>
          <w:p>
            <w:pPr>
              <w:pStyle w:val="TableContents"/>
              <w:bidi w:val="0"/>
              <w:spacing w:before="0" w:after="283"/>
              <w:jc w:val="right"/>
              <w:rPr>
                <w:sz w:val="20"/>
              </w:rPr>
            </w:pPr>
            <w:r>
              <w:rPr>
                <w:sz w:val="20"/>
              </w:rPr>
              <w:t>1,756</w:t>
            </w:r>
          </w:p>
        </w:tc>
        <w:tc>
          <w:tcPr>
            <w:tcW w:w="106"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861" w:type="dxa"/>
            <w:tcBorders/>
            <w:shd w:fill="CCEEFF" w:val="clear"/>
            <w:vAlign w:val="center"/>
          </w:tcPr>
          <w:p>
            <w:pPr>
              <w:pStyle w:val="TableContents"/>
              <w:bidi w:val="0"/>
              <w:spacing w:before="0" w:after="283"/>
              <w:jc w:val="right"/>
              <w:rPr>
                <w:sz w:val="20"/>
              </w:rPr>
            </w:pPr>
            <w:r>
              <w:rPr>
                <w:sz w:val="20"/>
              </w:rPr>
              <w:t>(10,236</w:t>
            </w:r>
          </w:p>
        </w:tc>
        <w:tc>
          <w:tcPr>
            <w:tcW w:w="95" w:type="dxa"/>
            <w:tcBorders/>
            <w:shd w:fill="CCEEFF" w:val="clear"/>
            <w:vAlign w:val="center"/>
          </w:tcPr>
          <w:p>
            <w:pPr>
              <w:pStyle w:val="TableContents"/>
              <w:bidi w:val="0"/>
              <w:spacing w:before="0" w:after="283"/>
              <w:jc w:val="left"/>
              <w:rPr>
                <w:sz w:val="20"/>
              </w:rPr>
            </w:pPr>
            <w:r>
              <w:rPr>
                <w:sz w:val="20"/>
              </w:rPr>
              <w:t>)</w:t>
            </w:r>
            <w:bookmarkStart w:id="213" w:name="xdx_400_eus-gaap--IncreaseDecreaseInPrep"/>
            <w:bookmarkEnd w:id="213"/>
          </w:p>
        </w:tc>
      </w:tr>
      <w:tr>
        <w:trPr/>
        <w:tc>
          <w:tcPr>
            <w:tcW w:w="7085" w:type="dxa"/>
            <w:tcBorders/>
            <w:shd w:fill="FFFFFF" w:val="clear"/>
            <w:vAlign w:val="center"/>
          </w:tcPr>
          <w:p>
            <w:pPr>
              <w:pStyle w:val="TableContents"/>
              <w:bidi w:val="0"/>
              <w:spacing w:before="0" w:after="283"/>
              <w:jc w:val="left"/>
              <w:rPr>
                <w:sz w:val="20"/>
              </w:rPr>
            </w:pPr>
            <w:r>
              <w:rPr>
                <w:sz w:val="20"/>
              </w:rPr>
              <w:t>Prepaid expenses and other assets</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sz w:val="20"/>
              </w:rPr>
            </w:pPr>
            <w:r>
              <w:rPr>
                <w:sz w:val="20"/>
              </w:rPr>
              <w:t>662</w:t>
            </w:r>
          </w:p>
        </w:tc>
        <w:tc>
          <w:tcPr>
            <w:tcW w:w="106"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right"/>
              <w:rPr>
                <w:sz w:val="20"/>
              </w:rPr>
            </w:pPr>
            <w:r>
              <w:rPr>
                <w:sz w:val="20"/>
              </w:rPr>
              <w:t>(1,721</w:t>
            </w:r>
          </w:p>
        </w:tc>
        <w:tc>
          <w:tcPr>
            <w:tcW w:w="95" w:type="dxa"/>
            <w:tcBorders/>
            <w:shd w:fill="FFFFFF" w:val="clear"/>
            <w:vAlign w:val="center"/>
          </w:tcPr>
          <w:p>
            <w:pPr>
              <w:pStyle w:val="TableContents"/>
              <w:bidi w:val="0"/>
              <w:spacing w:before="0" w:after="283"/>
              <w:jc w:val="left"/>
              <w:rPr>
                <w:sz w:val="20"/>
              </w:rPr>
            </w:pPr>
            <w:r>
              <w:rPr>
                <w:sz w:val="20"/>
              </w:rPr>
              <w:t>)</w:t>
            </w:r>
            <w:bookmarkStart w:id="214" w:name="xdx_403_eus-gaap--IncreaseDecreaseInAcco"/>
            <w:bookmarkEnd w:id="214"/>
          </w:p>
        </w:tc>
      </w:tr>
      <w:tr>
        <w:trPr/>
        <w:tc>
          <w:tcPr>
            <w:tcW w:w="7085" w:type="dxa"/>
            <w:tcBorders/>
            <w:shd w:fill="CCEEFF" w:val="clear"/>
            <w:vAlign w:val="center"/>
          </w:tcPr>
          <w:p>
            <w:pPr>
              <w:pStyle w:val="TableContents"/>
              <w:bidi w:val="0"/>
              <w:spacing w:before="0" w:after="283"/>
              <w:jc w:val="left"/>
              <w:rPr>
                <w:sz w:val="20"/>
              </w:rPr>
            </w:pPr>
            <w:r>
              <w:rPr>
                <w:sz w:val="20"/>
              </w:rPr>
              <w:t>Accounts payable</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781" w:type="dxa"/>
            <w:tcBorders/>
            <w:shd w:fill="CCEEFF" w:val="clear"/>
            <w:vAlign w:val="center"/>
          </w:tcPr>
          <w:p>
            <w:pPr>
              <w:pStyle w:val="TableContents"/>
              <w:bidi w:val="0"/>
              <w:spacing w:before="0" w:after="283"/>
              <w:jc w:val="right"/>
              <w:rPr>
                <w:sz w:val="20"/>
              </w:rPr>
            </w:pPr>
            <w:r>
              <w:rPr>
                <w:sz w:val="20"/>
              </w:rPr>
              <w:t>(5,377</w:t>
            </w:r>
          </w:p>
        </w:tc>
        <w:tc>
          <w:tcPr>
            <w:tcW w:w="106" w:type="dxa"/>
            <w:tcBorders/>
            <w:shd w:fill="CCEEFF" w:val="clear"/>
            <w:vAlign w:val="center"/>
          </w:tcPr>
          <w:p>
            <w:pPr>
              <w:pStyle w:val="TableContents"/>
              <w:bidi w:val="0"/>
              <w:spacing w:before="0" w:after="283"/>
              <w:jc w:val="left"/>
              <w:rPr>
                <w:sz w:val="20"/>
              </w:rPr>
            </w:pPr>
            <w:r>
              <w:rPr>
                <w:sz w:val="20"/>
              </w:rPr>
              <w:t>)</w:t>
            </w:r>
          </w:p>
        </w:tc>
        <w:tc>
          <w:tcPr>
            <w:tcW w:w="79"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861" w:type="dxa"/>
            <w:tcBorders/>
            <w:shd w:fill="CCEEFF" w:val="clear"/>
            <w:vAlign w:val="center"/>
          </w:tcPr>
          <w:p>
            <w:pPr>
              <w:pStyle w:val="TableContents"/>
              <w:bidi w:val="0"/>
              <w:spacing w:before="0" w:after="283"/>
              <w:jc w:val="right"/>
              <w:rPr>
                <w:sz w:val="20"/>
              </w:rPr>
            </w:pPr>
            <w:r>
              <w:rPr>
                <w:sz w:val="20"/>
              </w:rPr>
              <w:t>2,399</w:t>
            </w:r>
          </w:p>
        </w:tc>
        <w:tc>
          <w:tcPr>
            <w:tcW w:w="95" w:type="dxa"/>
            <w:tcBorders/>
            <w:shd w:fill="CCEEFF" w:val="clear"/>
            <w:vAlign w:val="center"/>
          </w:tcPr>
          <w:p>
            <w:pPr>
              <w:pStyle w:val="TableContents"/>
              <w:bidi w:val="0"/>
              <w:spacing w:before="0" w:after="283"/>
              <w:jc w:val="left"/>
              <w:rPr/>
            </w:pPr>
            <w:r>
              <w:rPr/>
              <w:t> </w:t>
            </w:r>
            <w:bookmarkStart w:id="215" w:name="xdx_404_eus-gaap--IncreaseDecreaseInDefe"/>
            <w:bookmarkEnd w:id="215"/>
          </w:p>
        </w:tc>
      </w:tr>
      <w:tr>
        <w:trPr/>
        <w:tc>
          <w:tcPr>
            <w:tcW w:w="7085" w:type="dxa"/>
            <w:tcBorders/>
            <w:shd w:fill="FFFFFF" w:val="clear"/>
            <w:vAlign w:val="center"/>
          </w:tcPr>
          <w:p>
            <w:pPr>
              <w:pStyle w:val="TableContents"/>
              <w:bidi w:val="0"/>
              <w:spacing w:before="0" w:after="283"/>
              <w:jc w:val="left"/>
              <w:rPr>
                <w:sz w:val="20"/>
              </w:rPr>
            </w:pPr>
            <w:r>
              <w:rPr>
                <w:sz w:val="20"/>
              </w:rPr>
              <w:t>Deferred revenue</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sz w:val="20"/>
              </w:rPr>
            </w:pPr>
            <w:r>
              <w:rPr>
                <w:sz w:val="20"/>
              </w:rPr>
              <w:t>(4,641</w:t>
            </w:r>
          </w:p>
        </w:tc>
        <w:tc>
          <w:tcPr>
            <w:tcW w:w="106" w:type="dxa"/>
            <w:tcBorders/>
            <w:shd w:fill="FFFFFF" w:val="clear"/>
            <w:vAlign w:val="center"/>
          </w:tcPr>
          <w:p>
            <w:pPr>
              <w:pStyle w:val="TableContents"/>
              <w:bidi w:val="0"/>
              <w:spacing w:before="0" w:after="283"/>
              <w:jc w:val="left"/>
              <w:rPr>
                <w:sz w:val="20"/>
              </w:rPr>
            </w:pPr>
            <w:r>
              <w:rPr>
                <w:sz w:val="20"/>
              </w:rPr>
              <w:t>)</w:t>
            </w:r>
          </w:p>
        </w:tc>
        <w:tc>
          <w:tcPr>
            <w:tcW w:w="79"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right"/>
              <w:rPr>
                <w:sz w:val="20"/>
              </w:rPr>
            </w:pPr>
            <w:r>
              <w:rPr>
                <w:sz w:val="20"/>
              </w:rPr>
              <w:t>3,218</w:t>
            </w:r>
          </w:p>
        </w:tc>
        <w:tc>
          <w:tcPr>
            <w:tcW w:w="95" w:type="dxa"/>
            <w:tcBorders/>
            <w:shd w:fill="FFFFFF" w:val="clear"/>
            <w:vAlign w:val="center"/>
          </w:tcPr>
          <w:p>
            <w:pPr>
              <w:pStyle w:val="TableContents"/>
              <w:bidi w:val="0"/>
              <w:spacing w:before="0" w:after="283"/>
              <w:jc w:val="left"/>
              <w:rPr/>
            </w:pPr>
            <w:r>
              <w:rPr/>
              <w:t> </w:t>
            </w:r>
            <w:bookmarkStart w:id="216" w:name="xdx_401_eus-gaap--IncreaseDecreaseInAccr"/>
            <w:bookmarkEnd w:id="216"/>
          </w:p>
        </w:tc>
      </w:tr>
      <w:tr>
        <w:trPr/>
        <w:tc>
          <w:tcPr>
            <w:tcW w:w="7085" w:type="dxa"/>
            <w:tcBorders/>
            <w:shd w:fill="CCEEFF" w:val="clear"/>
            <w:vAlign w:val="center"/>
          </w:tcPr>
          <w:p>
            <w:pPr>
              <w:pStyle w:val="TableContents"/>
              <w:bidi w:val="0"/>
              <w:spacing w:before="0" w:after="283"/>
              <w:jc w:val="left"/>
              <w:rPr>
                <w:sz w:val="20"/>
              </w:rPr>
            </w:pPr>
            <w:r>
              <w:rPr>
                <w:sz w:val="20"/>
              </w:rPr>
              <w:t>Accrued expense</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781" w:type="dxa"/>
            <w:tcBorders/>
            <w:shd w:fill="CCEEFF" w:val="clear"/>
            <w:vAlign w:val="center"/>
          </w:tcPr>
          <w:p>
            <w:pPr>
              <w:pStyle w:val="TableContents"/>
              <w:bidi w:val="0"/>
              <w:spacing w:before="0" w:after="283"/>
              <w:jc w:val="right"/>
              <w:rPr>
                <w:sz w:val="20"/>
              </w:rPr>
            </w:pPr>
            <w:r>
              <w:rPr>
                <w:sz w:val="20"/>
              </w:rPr>
              <w:t>(2,022</w:t>
            </w:r>
          </w:p>
        </w:tc>
        <w:tc>
          <w:tcPr>
            <w:tcW w:w="106" w:type="dxa"/>
            <w:tcBorders/>
            <w:shd w:fill="CCEEFF" w:val="clear"/>
            <w:vAlign w:val="center"/>
          </w:tcPr>
          <w:p>
            <w:pPr>
              <w:pStyle w:val="TableContents"/>
              <w:bidi w:val="0"/>
              <w:spacing w:before="0" w:after="283"/>
              <w:jc w:val="left"/>
              <w:rPr>
                <w:sz w:val="20"/>
              </w:rPr>
            </w:pPr>
            <w:r>
              <w:rPr>
                <w:sz w:val="20"/>
              </w:rPr>
              <w:t>)</w:t>
            </w:r>
          </w:p>
        </w:tc>
        <w:tc>
          <w:tcPr>
            <w:tcW w:w="79"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861" w:type="dxa"/>
            <w:tcBorders/>
            <w:shd w:fill="CCEEFF" w:val="clear"/>
            <w:vAlign w:val="center"/>
          </w:tcPr>
          <w:p>
            <w:pPr>
              <w:pStyle w:val="TableContents"/>
              <w:bidi w:val="0"/>
              <w:spacing w:before="0" w:after="283"/>
              <w:jc w:val="right"/>
              <w:rPr>
                <w:sz w:val="20"/>
              </w:rPr>
            </w:pPr>
            <w:r>
              <w:rPr>
                <w:sz w:val="20"/>
              </w:rPr>
              <w:t>3,988</w:t>
            </w:r>
          </w:p>
        </w:tc>
        <w:tc>
          <w:tcPr>
            <w:tcW w:w="95" w:type="dxa"/>
            <w:tcBorders/>
            <w:shd w:fill="CCEEFF" w:val="clear"/>
            <w:vAlign w:val="center"/>
          </w:tcPr>
          <w:p>
            <w:pPr>
              <w:pStyle w:val="TableContents"/>
              <w:bidi w:val="0"/>
              <w:spacing w:before="0" w:after="283"/>
              <w:jc w:val="left"/>
              <w:rPr/>
            </w:pPr>
            <w:r>
              <w:rPr/>
              <w:t> </w:t>
            </w:r>
            <w:bookmarkStart w:id="217" w:name="xdx_40C_eus-gaap--IncreaseDecreaseInOper"/>
            <w:bookmarkEnd w:id="217"/>
          </w:p>
        </w:tc>
      </w:tr>
      <w:tr>
        <w:trPr/>
        <w:tc>
          <w:tcPr>
            <w:tcW w:w="7085" w:type="dxa"/>
            <w:tcBorders/>
            <w:shd w:fill="FFFFFF" w:val="clear"/>
            <w:vAlign w:val="center"/>
          </w:tcPr>
          <w:p>
            <w:pPr>
              <w:pStyle w:val="TableContents"/>
              <w:bidi w:val="0"/>
              <w:spacing w:before="0" w:after="283"/>
              <w:jc w:val="left"/>
              <w:rPr>
                <w:sz w:val="20"/>
              </w:rPr>
            </w:pPr>
            <w:r>
              <w:rPr>
                <w:sz w:val="20"/>
              </w:rPr>
              <w:t>Change in right of use asset and lease liability, net</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81"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(240</w:t>
            </w:r>
          </w:p>
        </w:tc>
        <w:tc>
          <w:tcPr>
            <w:tcW w:w="106" w:type="dxa"/>
            <w:tcBorders/>
            <w:shd w:fill="FFFFFF" w:val="clear"/>
            <w:vAlign w:val="center"/>
          </w:tcPr>
          <w:p>
            <w:pPr>
              <w:pStyle w:val="TableContents"/>
              <w:bidi w:val="0"/>
              <w:spacing w:before="0" w:after="283"/>
              <w:jc w:val="left"/>
              <w:rPr>
                <w:sz w:val="20"/>
              </w:rPr>
            </w:pPr>
            <w:r>
              <w:rPr>
                <w:sz w:val="20"/>
              </w:rPr>
              <w:t>)</w:t>
            </w:r>
          </w:p>
        </w:tc>
        <w:tc>
          <w:tcPr>
            <w:tcW w:w="79" w:type="dxa"/>
            <w:tcBorders/>
            <w:shd w:fill="FFFFFF" w:val="clear"/>
            <w:vAlign w:val="center"/>
          </w:tcPr>
          <w:p>
            <w:pPr>
              <w:pStyle w:val="TableContents"/>
              <w:bidi w:val="0"/>
              <w:spacing w:before="0" w:after="283"/>
              <w:jc w:val="left"/>
              <w:rPr/>
            </w:pPr>
            <w:r>
              <w:rPr/>
              <w:t> </w:t>
            </w:r>
          </w:p>
        </w:tc>
        <w:tc>
          <w:tcPr>
            <w:tcW w:w="18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61"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(163</w:t>
            </w:r>
          </w:p>
        </w:tc>
        <w:tc>
          <w:tcPr>
            <w:tcW w:w="95" w:type="dxa"/>
            <w:tcBorders/>
            <w:shd w:fill="FFFFFF" w:val="clear"/>
            <w:vAlign w:val="center"/>
          </w:tcPr>
          <w:p>
            <w:pPr>
              <w:pStyle w:val="TableContents"/>
              <w:bidi w:val="0"/>
              <w:spacing w:before="0" w:after="283"/>
              <w:jc w:val="left"/>
              <w:rPr>
                <w:sz w:val="20"/>
              </w:rPr>
            </w:pPr>
            <w:r>
              <w:rPr>
                <w:sz w:val="20"/>
              </w:rPr>
              <w:t>)</w:t>
            </w:r>
            <w:bookmarkStart w:id="218" w:name="xdx_400_eus-gaap--NetCashProvidedByUsedI"/>
            <w:bookmarkEnd w:id="218"/>
          </w:p>
        </w:tc>
      </w:tr>
      <w:tr>
        <w:trPr/>
        <w:tc>
          <w:tcPr>
            <w:tcW w:w="7085" w:type="dxa"/>
            <w:tcBorders/>
            <w:shd w:fill="CCEEFF" w:val="clear"/>
            <w:vAlign w:val="center"/>
          </w:tcPr>
          <w:p>
            <w:pPr>
              <w:pStyle w:val="TableContents"/>
              <w:bidi w:val="0"/>
              <w:spacing w:before="0" w:after="283"/>
              <w:jc w:val="left"/>
              <w:rPr>
                <w:sz w:val="20"/>
              </w:rPr>
            </w:pPr>
            <w:r>
              <w:rPr>
                <w:sz w:val="20"/>
              </w:rPr>
              <w:t>Net cash (used in) provided by operating activities</w:t>
            </w:r>
          </w:p>
        </w:tc>
        <w:tc>
          <w:tcPr>
            <w:tcW w:w="60" w:type="dxa"/>
            <w:tcBorders/>
            <w:shd w:fill="CCEEFF" w:val="clear"/>
            <w:vAlign w:val="center"/>
          </w:tcPr>
          <w:p>
            <w:pPr>
              <w:pStyle w:val="TableContents"/>
              <w:bidi w:val="0"/>
              <w:spacing w:before="0" w:after="283"/>
              <w:jc w:val="left"/>
              <w:rPr/>
            </w:pPr>
            <w:r>
              <w:rPr/>
              <w:t> </w:t>
            </w:r>
          </w:p>
        </w:tc>
        <w:tc>
          <w:tcPr>
            <w:tcW w:w="16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81"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(8,567</w:t>
            </w:r>
          </w:p>
        </w:tc>
        <w:tc>
          <w:tcPr>
            <w:tcW w:w="106" w:type="dxa"/>
            <w:tcBorders/>
            <w:shd w:fill="CCEEFF" w:val="clear"/>
            <w:vAlign w:val="center"/>
          </w:tcPr>
          <w:p>
            <w:pPr>
              <w:pStyle w:val="TableContents"/>
              <w:bidi w:val="0"/>
              <w:spacing w:before="0" w:after="283"/>
              <w:jc w:val="left"/>
              <w:rPr>
                <w:sz w:val="20"/>
              </w:rPr>
            </w:pPr>
            <w:r>
              <w:rPr>
                <w:sz w:val="20"/>
              </w:rPr>
              <w:t>)</w:t>
            </w:r>
          </w:p>
        </w:tc>
        <w:tc>
          <w:tcPr>
            <w:tcW w:w="79" w:type="dxa"/>
            <w:tcBorders/>
            <w:shd w:fill="CCEEFF" w:val="clear"/>
            <w:vAlign w:val="center"/>
          </w:tcPr>
          <w:p>
            <w:pPr>
              <w:pStyle w:val="TableContents"/>
              <w:bidi w:val="0"/>
              <w:spacing w:before="0" w:after="283"/>
              <w:jc w:val="left"/>
              <w:rPr/>
            </w:pPr>
            <w:r>
              <w:rPr/>
              <w:t> </w:t>
            </w:r>
          </w:p>
        </w:tc>
        <w:tc>
          <w:tcPr>
            <w:tcW w:w="18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61"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1,971</w:t>
            </w:r>
          </w:p>
        </w:tc>
        <w:tc>
          <w:tcPr>
            <w:tcW w:w="95" w:type="dxa"/>
            <w:tcBorders/>
            <w:shd w:fill="CCEEFF" w:val="clear"/>
            <w:vAlign w:val="center"/>
          </w:tcPr>
          <w:p>
            <w:pPr>
              <w:pStyle w:val="TableContents"/>
              <w:bidi w:val="0"/>
              <w:spacing w:before="0" w:after="283"/>
              <w:jc w:val="left"/>
              <w:rPr/>
            </w:pPr>
            <w:r>
              <w:rPr/>
              <w:t> </w:t>
            </w:r>
          </w:p>
        </w:tc>
      </w:tr>
      <w:tr>
        <w:trPr/>
        <w:tc>
          <w:tcPr>
            <w:tcW w:w="70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pPr>
            <w:r>
              <w:rPr/>
              <w:t> </w:t>
            </w:r>
          </w:p>
        </w:tc>
        <w:tc>
          <w:tcPr>
            <w:tcW w:w="106"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bookmarkStart w:id="219" w:name="xdx_400_eus-gaap--NetCashProvidedByUsedI"/>
            <w:bookmarkEnd w:id="219"/>
          </w:p>
        </w:tc>
      </w:tr>
      <w:tr>
        <w:trPr/>
        <w:tc>
          <w:tcPr>
            <w:tcW w:w="7085" w:type="dxa"/>
            <w:tcBorders/>
            <w:shd w:fill="CCEEFF" w:val="clear"/>
            <w:vAlign w:val="center"/>
          </w:tcPr>
          <w:p>
            <w:pPr>
              <w:pStyle w:val="TableContents"/>
              <w:bidi w:val="0"/>
              <w:spacing w:before="0" w:after="283"/>
              <w:jc w:val="left"/>
              <w:rPr>
                <w:b/>
                <w:sz w:val="20"/>
              </w:rPr>
            </w:pPr>
            <w:r>
              <w:rPr>
                <w:b/>
                <w:sz w:val="20"/>
              </w:rPr>
              <w:t>Investing activities:</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781" w:type="dxa"/>
            <w:tcBorders/>
            <w:shd w:fill="CCEEFF" w:val="clear"/>
            <w:vAlign w:val="center"/>
          </w:tcPr>
          <w:p>
            <w:pPr>
              <w:pStyle w:val="TableContents"/>
              <w:bidi w:val="0"/>
              <w:spacing w:before="0" w:after="283"/>
              <w:jc w:val="right"/>
              <w:rPr/>
            </w:pPr>
            <w:r>
              <w:rPr/>
              <w:t> </w:t>
            </w:r>
          </w:p>
        </w:tc>
        <w:tc>
          <w:tcPr>
            <w:tcW w:w="106"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86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bookmarkStart w:id="220" w:name="xdx_404_eus-gaap--PaymentsForProceedsFro"/>
            <w:bookmarkEnd w:id="220"/>
          </w:p>
        </w:tc>
      </w:tr>
      <w:tr>
        <w:trPr/>
        <w:tc>
          <w:tcPr>
            <w:tcW w:w="7085" w:type="dxa"/>
            <w:tcBorders/>
            <w:shd w:fill="FFFFFF" w:val="clear"/>
            <w:vAlign w:val="center"/>
          </w:tcPr>
          <w:p>
            <w:pPr>
              <w:pStyle w:val="TableContents"/>
              <w:bidi w:val="0"/>
              <w:spacing w:before="0" w:after="283"/>
              <w:jc w:val="left"/>
              <w:rPr>
                <w:sz w:val="20"/>
              </w:rPr>
            </w:pPr>
            <w:r>
              <w:rPr>
                <w:sz w:val="20"/>
              </w:rPr>
              <w:t>Acquisition of equipment and leasehold improvements</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81"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(2,143</w:t>
            </w:r>
          </w:p>
        </w:tc>
        <w:tc>
          <w:tcPr>
            <w:tcW w:w="106" w:type="dxa"/>
            <w:tcBorders/>
            <w:shd w:fill="FFFFFF" w:val="clear"/>
            <w:vAlign w:val="center"/>
          </w:tcPr>
          <w:p>
            <w:pPr>
              <w:pStyle w:val="TableContents"/>
              <w:bidi w:val="0"/>
              <w:spacing w:before="0" w:after="283"/>
              <w:jc w:val="left"/>
              <w:rPr>
                <w:sz w:val="20"/>
              </w:rPr>
            </w:pPr>
            <w:r>
              <w:rPr>
                <w:sz w:val="20"/>
              </w:rPr>
              <w:t>)</w:t>
            </w:r>
          </w:p>
        </w:tc>
        <w:tc>
          <w:tcPr>
            <w:tcW w:w="79" w:type="dxa"/>
            <w:tcBorders/>
            <w:shd w:fill="FFFFFF" w:val="clear"/>
            <w:vAlign w:val="center"/>
          </w:tcPr>
          <w:p>
            <w:pPr>
              <w:pStyle w:val="TableContents"/>
              <w:bidi w:val="0"/>
              <w:spacing w:before="0" w:after="283"/>
              <w:jc w:val="left"/>
              <w:rPr/>
            </w:pPr>
            <w:r>
              <w:rPr/>
              <w:t> </w:t>
            </w:r>
          </w:p>
        </w:tc>
        <w:tc>
          <w:tcPr>
            <w:tcW w:w="18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61"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(4,558</w:t>
            </w:r>
          </w:p>
        </w:tc>
        <w:tc>
          <w:tcPr>
            <w:tcW w:w="95" w:type="dxa"/>
            <w:tcBorders/>
            <w:shd w:fill="FFFFFF" w:val="clear"/>
            <w:vAlign w:val="center"/>
          </w:tcPr>
          <w:p>
            <w:pPr>
              <w:pStyle w:val="TableContents"/>
              <w:bidi w:val="0"/>
              <w:spacing w:before="0" w:after="283"/>
              <w:jc w:val="left"/>
              <w:rPr>
                <w:sz w:val="20"/>
              </w:rPr>
            </w:pPr>
            <w:r>
              <w:rPr>
                <w:sz w:val="20"/>
              </w:rPr>
              <w:t>)</w:t>
            </w:r>
            <w:bookmarkStart w:id="221" w:name="xdx_40C_eus-gaap--NetCashProvidedByUsedI"/>
            <w:bookmarkEnd w:id="221"/>
          </w:p>
        </w:tc>
      </w:tr>
      <w:tr>
        <w:trPr/>
        <w:tc>
          <w:tcPr>
            <w:tcW w:w="7085" w:type="dxa"/>
            <w:tcBorders/>
            <w:shd w:fill="CCEEFF" w:val="clear"/>
            <w:vAlign w:val="center"/>
          </w:tcPr>
          <w:p>
            <w:pPr>
              <w:pStyle w:val="TableContents"/>
              <w:bidi w:val="0"/>
              <w:spacing w:before="0" w:after="283"/>
              <w:jc w:val="left"/>
              <w:rPr>
                <w:sz w:val="20"/>
              </w:rPr>
            </w:pPr>
            <w:r>
              <w:rPr>
                <w:sz w:val="20"/>
              </w:rPr>
              <w:t>Net cash used in investing activities</w:t>
            </w:r>
          </w:p>
        </w:tc>
        <w:tc>
          <w:tcPr>
            <w:tcW w:w="60" w:type="dxa"/>
            <w:tcBorders/>
            <w:shd w:fill="CCEEFF" w:val="clear"/>
            <w:vAlign w:val="center"/>
          </w:tcPr>
          <w:p>
            <w:pPr>
              <w:pStyle w:val="TableContents"/>
              <w:bidi w:val="0"/>
              <w:spacing w:before="0" w:after="283"/>
              <w:jc w:val="left"/>
              <w:rPr/>
            </w:pPr>
            <w:r>
              <w:rPr/>
              <w:t> </w:t>
            </w:r>
          </w:p>
        </w:tc>
        <w:tc>
          <w:tcPr>
            <w:tcW w:w="16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81"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(2,143</w:t>
            </w:r>
          </w:p>
        </w:tc>
        <w:tc>
          <w:tcPr>
            <w:tcW w:w="106" w:type="dxa"/>
            <w:tcBorders/>
            <w:shd w:fill="CCEEFF" w:val="clear"/>
            <w:vAlign w:val="center"/>
          </w:tcPr>
          <w:p>
            <w:pPr>
              <w:pStyle w:val="TableContents"/>
              <w:bidi w:val="0"/>
              <w:spacing w:before="0" w:after="283"/>
              <w:jc w:val="left"/>
              <w:rPr>
                <w:sz w:val="20"/>
              </w:rPr>
            </w:pPr>
            <w:r>
              <w:rPr>
                <w:sz w:val="20"/>
              </w:rPr>
              <w:t>)</w:t>
            </w:r>
          </w:p>
        </w:tc>
        <w:tc>
          <w:tcPr>
            <w:tcW w:w="79" w:type="dxa"/>
            <w:tcBorders/>
            <w:shd w:fill="CCEEFF" w:val="clear"/>
            <w:vAlign w:val="center"/>
          </w:tcPr>
          <w:p>
            <w:pPr>
              <w:pStyle w:val="TableContents"/>
              <w:bidi w:val="0"/>
              <w:spacing w:before="0" w:after="283"/>
              <w:jc w:val="left"/>
              <w:rPr/>
            </w:pPr>
            <w:r>
              <w:rPr/>
              <w:t> </w:t>
            </w:r>
          </w:p>
        </w:tc>
        <w:tc>
          <w:tcPr>
            <w:tcW w:w="18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61"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(4,558</w:t>
            </w:r>
          </w:p>
        </w:tc>
        <w:tc>
          <w:tcPr>
            <w:tcW w:w="95" w:type="dxa"/>
            <w:tcBorders/>
            <w:shd w:fill="CCEEFF" w:val="clear"/>
            <w:vAlign w:val="center"/>
          </w:tcPr>
          <w:p>
            <w:pPr>
              <w:pStyle w:val="TableContents"/>
              <w:bidi w:val="0"/>
              <w:spacing w:before="0" w:after="283"/>
              <w:jc w:val="left"/>
              <w:rPr>
                <w:sz w:val="20"/>
              </w:rPr>
            </w:pPr>
            <w:r>
              <w:rPr>
                <w:sz w:val="20"/>
              </w:rPr>
              <w:t>)</w:t>
            </w:r>
          </w:p>
        </w:tc>
      </w:tr>
      <w:tr>
        <w:trPr/>
        <w:tc>
          <w:tcPr>
            <w:tcW w:w="70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pPr>
            <w:r>
              <w:rPr/>
              <w:t> </w:t>
            </w:r>
          </w:p>
        </w:tc>
        <w:tc>
          <w:tcPr>
            <w:tcW w:w="106"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bookmarkStart w:id="222" w:name="xdx_40F_eus-gaap--NetCashProvidedByUsedI"/>
            <w:bookmarkEnd w:id="222"/>
          </w:p>
        </w:tc>
      </w:tr>
      <w:tr>
        <w:trPr/>
        <w:tc>
          <w:tcPr>
            <w:tcW w:w="7085" w:type="dxa"/>
            <w:tcBorders/>
            <w:shd w:fill="CCEEFF" w:val="clear"/>
            <w:vAlign w:val="center"/>
          </w:tcPr>
          <w:p>
            <w:pPr>
              <w:pStyle w:val="TableContents"/>
              <w:bidi w:val="0"/>
              <w:spacing w:before="0" w:after="283"/>
              <w:jc w:val="left"/>
              <w:rPr>
                <w:b/>
                <w:sz w:val="20"/>
              </w:rPr>
            </w:pPr>
            <w:r>
              <w:rPr>
                <w:b/>
                <w:sz w:val="20"/>
              </w:rPr>
              <w:t>Financing activities:</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781" w:type="dxa"/>
            <w:tcBorders/>
            <w:shd w:fill="CCEEFF" w:val="clear"/>
            <w:vAlign w:val="center"/>
          </w:tcPr>
          <w:p>
            <w:pPr>
              <w:pStyle w:val="TableContents"/>
              <w:bidi w:val="0"/>
              <w:spacing w:before="0" w:after="283"/>
              <w:jc w:val="right"/>
              <w:rPr/>
            </w:pPr>
            <w:r>
              <w:rPr/>
              <w:t> </w:t>
            </w:r>
          </w:p>
        </w:tc>
        <w:tc>
          <w:tcPr>
            <w:tcW w:w="106"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86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bookmarkStart w:id="223" w:name="xdx_402_eus-gaap--ProceedsFromLinesOfCre"/>
            <w:bookmarkEnd w:id="223"/>
          </w:p>
        </w:tc>
      </w:tr>
      <w:tr>
        <w:trPr/>
        <w:tc>
          <w:tcPr>
            <w:tcW w:w="7085" w:type="dxa"/>
            <w:tcBorders/>
            <w:shd w:fill="FFFFFF" w:val="clear"/>
            <w:vAlign w:val="center"/>
          </w:tcPr>
          <w:p>
            <w:pPr>
              <w:pStyle w:val="TableContents"/>
              <w:bidi w:val="0"/>
              <w:spacing w:before="0" w:after="283"/>
              <w:jc w:val="left"/>
              <w:rPr>
                <w:sz w:val="20"/>
              </w:rPr>
            </w:pPr>
            <w:r>
              <w:rPr>
                <w:sz w:val="20"/>
              </w:rPr>
              <w:t>Proceeds from line of credit - inventory, related party</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sz w:val="20"/>
              </w:rPr>
            </w:pPr>
            <w:r>
              <w:rPr>
                <w:sz w:val="20"/>
              </w:rPr>
              <w:t>5,500</w:t>
            </w:r>
          </w:p>
        </w:tc>
        <w:tc>
          <w:tcPr>
            <w:tcW w:w="106"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right"/>
              <w:rPr>
                <w:sz w:val="20"/>
              </w:rPr>
            </w:pPr>
            <w:r>
              <w:rPr>
                <w:sz w:val="20"/>
              </w:rPr>
              <w:t>200</w:t>
            </w:r>
          </w:p>
        </w:tc>
        <w:tc>
          <w:tcPr>
            <w:tcW w:w="95" w:type="dxa"/>
            <w:tcBorders/>
            <w:shd w:fill="FFFFFF" w:val="clear"/>
            <w:vAlign w:val="center"/>
          </w:tcPr>
          <w:p>
            <w:pPr>
              <w:pStyle w:val="TableContents"/>
              <w:bidi w:val="0"/>
              <w:spacing w:before="0" w:after="283"/>
              <w:jc w:val="left"/>
              <w:rPr/>
            </w:pPr>
            <w:r>
              <w:rPr/>
              <w:t> </w:t>
            </w:r>
            <w:bookmarkStart w:id="224" w:name="xdx_400_eus-gaap--RepaymentsOfLinesOfCre"/>
            <w:bookmarkEnd w:id="224"/>
          </w:p>
        </w:tc>
      </w:tr>
      <w:tr>
        <w:trPr/>
        <w:tc>
          <w:tcPr>
            <w:tcW w:w="7085" w:type="dxa"/>
            <w:tcBorders/>
            <w:shd w:fill="CCEEFF" w:val="clear"/>
            <w:vAlign w:val="center"/>
          </w:tcPr>
          <w:p>
            <w:pPr>
              <w:pStyle w:val="TableContents"/>
              <w:bidi w:val="0"/>
              <w:spacing w:before="0" w:after="283"/>
              <w:jc w:val="left"/>
              <w:rPr>
                <w:sz w:val="20"/>
              </w:rPr>
            </w:pPr>
            <w:r>
              <w:rPr>
                <w:sz w:val="20"/>
              </w:rPr>
              <w:t>Payments to line of credit - inventory, related party</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781" w:type="dxa"/>
            <w:tcBorders/>
            <w:shd w:fill="CCEEFF" w:val="clear"/>
            <w:vAlign w:val="center"/>
          </w:tcPr>
          <w:p>
            <w:pPr>
              <w:pStyle w:val="TableContents"/>
              <w:bidi w:val="0"/>
              <w:spacing w:before="0" w:after="283"/>
              <w:jc w:val="right"/>
              <w:rPr/>
            </w:pPr>
            <w:r>
              <w:rPr/>
              <w:t>—</w:t>
            </w:r>
          </w:p>
        </w:tc>
        <w:tc>
          <w:tcPr>
            <w:tcW w:w="106"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861" w:type="dxa"/>
            <w:tcBorders/>
            <w:shd w:fill="CCEEFF" w:val="clear"/>
            <w:vAlign w:val="center"/>
          </w:tcPr>
          <w:p>
            <w:pPr>
              <w:pStyle w:val="TableContents"/>
              <w:bidi w:val="0"/>
              <w:spacing w:before="0" w:after="283"/>
              <w:jc w:val="right"/>
              <w:rPr>
                <w:sz w:val="20"/>
              </w:rPr>
            </w:pPr>
            <w:r>
              <w:rPr>
                <w:sz w:val="20"/>
              </w:rPr>
              <w:t>(1,200</w:t>
            </w:r>
          </w:p>
        </w:tc>
        <w:tc>
          <w:tcPr>
            <w:tcW w:w="95" w:type="dxa"/>
            <w:tcBorders/>
            <w:shd w:fill="CCEEFF" w:val="clear"/>
            <w:vAlign w:val="center"/>
          </w:tcPr>
          <w:p>
            <w:pPr>
              <w:pStyle w:val="TableContents"/>
              <w:bidi w:val="0"/>
              <w:spacing w:before="0" w:after="283"/>
              <w:jc w:val="left"/>
              <w:rPr>
                <w:sz w:val="20"/>
              </w:rPr>
            </w:pPr>
            <w:r>
              <w:rPr>
                <w:sz w:val="20"/>
              </w:rPr>
              <w:t>)</w:t>
            </w:r>
            <w:bookmarkStart w:id="225" w:name="xdx_405_eus-gaap--ProceedsFromOtherShort"/>
            <w:bookmarkEnd w:id="225"/>
          </w:p>
        </w:tc>
      </w:tr>
      <w:tr>
        <w:trPr/>
        <w:tc>
          <w:tcPr>
            <w:tcW w:w="7085" w:type="dxa"/>
            <w:tcBorders/>
            <w:shd w:fill="FFFFFF" w:val="clear"/>
            <w:vAlign w:val="center"/>
          </w:tcPr>
          <w:p>
            <w:pPr>
              <w:pStyle w:val="TableContents"/>
              <w:bidi w:val="0"/>
              <w:spacing w:before="0" w:after="283"/>
              <w:jc w:val="left"/>
              <w:rPr>
                <w:sz w:val="20"/>
              </w:rPr>
            </w:pPr>
            <w:r>
              <w:rPr>
                <w:sz w:val="20"/>
              </w:rPr>
              <w:t>Net proceeds from line of credit – accounts receivable, related party</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sz w:val="20"/>
              </w:rPr>
            </w:pPr>
            <w:r>
              <w:rPr>
                <w:sz w:val="20"/>
              </w:rPr>
              <w:t>4,766</w:t>
            </w:r>
          </w:p>
        </w:tc>
        <w:tc>
          <w:tcPr>
            <w:tcW w:w="106"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bookmarkStart w:id="226" w:name="xdx_40A_eus-gaap--RepaymentsOfRelatedPar"/>
            <w:bookmarkEnd w:id="226"/>
          </w:p>
        </w:tc>
      </w:tr>
      <w:tr>
        <w:trPr/>
        <w:tc>
          <w:tcPr>
            <w:tcW w:w="7085" w:type="dxa"/>
            <w:tcBorders/>
            <w:shd w:fill="CCEEFF" w:val="clear"/>
            <w:vAlign w:val="center"/>
          </w:tcPr>
          <w:p>
            <w:pPr>
              <w:pStyle w:val="TableContents"/>
              <w:bidi w:val="0"/>
              <w:spacing w:before="0" w:after="283"/>
              <w:jc w:val="left"/>
              <w:rPr>
                <w:sz w:val="20"/>
              </w:rPr>
            </w:pPr>
            <w:r>
              <w:rPr>
                <w:sz w:val="20"/>
              </w:rPr>
              <w:t>Net payments to line of credit – accounts receivable, related party</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781" w:type="dxa"/>
            <w:tcBorders/>
            <w:shd w:fill="CCEEFF" w:val="clear"/>
            <w:vAlign w:val="center"/>
          </w:tcPr>
          <w:p>
            <w:pPr>
              <w:pStyle w:val="TableContents"/>
              <w:bidi w:val="0"/>
              <w:spacing w:before="0" w:after="283"/>
              <w:jc w:val="right"/>
              <w:rPr/>
            </w:pPr>
            <w:r>
              <w:rPr/>
              <w:t>—</w:t>
            </w:r>
          </w:p>
        </w:tc>
        <w:tc>
          <w:tcPr>
            <w:tcW w:w="106"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861" w:type="dxa"/>
            <w:tcBorders/>
            <w:shd w:fill="CCEEFF" w:val="clear"/>
            <w:vAlign w:val="center"/>
          </w:tcPr>
          <w:p>
            <w:pPr>
              <w:pStyle w:val="TableContents"/>
              <w:bidi w:val="0"/>
              <w:spacing w:before="0" w:after="283"/>
              <w:jc w:val="right"/>
              <w:rPr>
                <w:sz w:val="20"/>
              </w:rPr>
            </w:pPr>
            <w:r>
              <w:rPr>
                <w:sz w:val="20"/>
              </w:rPr>
              <w:t>(2,810</w:t>
            </w:r>
          </w:p>
        </w:tc>
        <w:tc>
          <w:tcPr>
            <w:tcW w:w="95" w:type="dxa"/>
            <w:tcBorders/>
            <w:shd w:fill="CCEEFF" w:val="clear"/>
            <w:vAlign w:val="center"/>
          </w:tcPr>
          <w:p>
            <w:pPr>
              <w:pStyle w:val="TableContents"/>
              <w:bidi w:val="0"/>
              <w:spacing w:before="0" w:after="283"/>
              <w:jc w:val="left"/>
              <w:rPr>
                <w:sz w:val="20"/>
              </w:rPr>
            </w:pPr>
            <w:r>
              <w:rPr>
                <w:sz w:val="20"/>
              </w:rPr>
              <w:t>)</w:t>
            </w:r>
            <w:bookmarkStart w:id="227" w:name="xdx_406_eus-gaap--RepaymentsOfOtherLongT"/>
            <w:bookmarkEnd w:id="227"/>
          </w:p>
        </w:tc>
      </w:tr>
      <w:tr>
        <w:trPr/>
        <w:tc>
          <w:tcPr>
            <w:tcW w:w="7085" w:type="dxa"/>
            <w:tcBorders/>
            <w:shd w:fill="FFFFFF" w:val="clear"/>
            <w:vAlign w:val="center"/>
          </w:tcPr>
          <w:p>
            <w:pPr>
              <w:pStyle w:val="TableContents"/>
              <w:bidi w:val="0"/>
              <w:spacing w:before="0" w:after="283"/>
              <w:jc w:val="left"/>
              <w:rPr>
                <w:sz w:val="20"/>
              </w:rPr>
            </w:pPr>
            <w:r>
              <w:rPr>
                <w:sz w:val="20"/>
              </w:rPr>
              <w:t>Payments to term loans, related party</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pPr>
            <w:r>
              <w:rPr/>
              <w:t>—</w:t>
            </w:r>
          </w:p>
        </w:tc>
        <w:tc>
          <w:tcPr>
            <w:tcW w:w="106"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right"/>
              <w:rPr>
                <w:sz w:val="20"/>
              </w:rPr>
            </w:pPr>
            <w:r>
              <w:rPr>
                <w:sz w:val="20"/>
              </w:rPr>
              <w:t>(2,000</w:t>
            </w:r>
          </w:p>
        </w:tc>
        <w:tc>
          <w:tcPr>
            <w:tcW w:w="95" w:type="dxa"/>
            <w:tcBorders/>
            <w:shd w:fill="FFFFFF" w:val="clear"/>
            <w:vAlign w:val="center"/>
          </w:tcPr>
          <w:p>
            <w:pPr>
              <w:pStyle w:val="TableContents"/>
              <w:bidi w:val="0"/>
              <w:spacing w:before="0" w:after="283"/>
              <w:jc w:val="left"/>
              <w:rPr>
                <w:sz w:val="20"/>
              </w:rPr>
            </w:pPr>
            <w:r>
              <w:rPr>
                <w:sz w:val="20"/>
              </w:rPr>
              <w:t>)</w:t>
            </w:r>
            <w:bookmarkStart w:id="228" w:name="xdx_40C_eus-gaap--ProceedsFromIssuanceOf"/>
            <w:bookmarkEnd w:id="228"/>
          </w:p>
        </w:tc>
      </w:tr>
      <w:tr>
        <w:trPr/>
        <w:tc>
          <w:tcPr>
            <w:tcW w:w="7085" w:type="dxa"/>
            <w:tcBorders/>
            <w:shd w:fill="CCEEFF" w:val="clear"/>
            <w:vAlign w:val="center"/>
          </w:tcPr>
          <w:p>
            <w:pPr>
              <w:pStyle w:val="TableContents"/>
              <w:bidi w:val="0"/>
              <w:spacing w:before="0" w:after="283"/>
              <w:jc w:val="left"/>
              <w:rPr>
                <w:sz w:val="20"/>
              </w:rPr>
            </w:pPr>
            <w:r>
              <w:rPr>
                <w:sz w:val="20"/>
              </w:rPr>
              <w:t>Proceeds from issuance of mezzanine preferred stock</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781" w:type="dxa"/>
            <w:tcBorders/>
            <w:shd w:fill="CCEEFF" w:val="clear"/>
            <w:vAlign w:val="center"/>
          </w:tcPr>
          <w:p>
            <w:pPr>
              <w:pStyle w:val="TableContents"/>
              <w:bidi w:val="0"/>
              <w:spacing w:before="0" w:after="283"/>
              <w:jc w:val="right"/>
              <w:rPr/>
            </w:pPr>
            <w:r>
              <w:rPr/>
              <w:t>—</w:t>
            </w:r>
          </w:p>
        </w:tc>
        <w:tc>
          <w:tcPr>
            <w:tcW w:w="106"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861" w:type="dxa"/>
            <w:tcBorders/>
            <w:shd w:fill="CCEEFF" w:val="clear"/>
            <w:vAlign w:val="center"/>
          </w:tcPr>
          <w:p>
            <w:pPr>
              <w:pStyle w:val="TableContents"/>
              <w:bidi w:val="0"/>
              <w:spacing w:before="0" w:after="283"/>
              <w:jc w:val="right"/>
              <w:rPr>
                <w:sz w:val="20"/>
              </w:rPr>
            </w:pPr>
            <w:r>
              <w:rPr>
                <w:sz w:val="20"/>
              </w:rPr>
              <w:t>6,000</w:t>
            </w:r>
          </w:p>
        </w:tc>
        <w:tc>
          <w:tcPr>
            <w:tcW w:w="95" w:type="dxa"/>
            <w:tcBorders/>
            <w:shd w:fill="CCEEFF" w:val="clear"/>
            <w:vAlign w:val="center"/>
          </w:tcPr>
          <w:p>
            <w:pPr>
              <w:pStyle w:val="TableContents"/>
              <w:bidi w:val="0"/>
              <w:spacing w:before="0" w:after="283"/>
              <w:jc w:val="left"/>
              <w:rPr/>
            </w:pPr>
            <w:r>
              <w:rPr/>
              <w:t> </w:t>
            </w:r>
            <w:bookmarkStart w:id="229" w:name="xdx_40B_eus-gaap--ProceedsFromIssuanceOf"/>
            <w:bookmarkEnd w:id="229"/>
          </w:p>
        </w:tc>
      </w:tr>
      <w:tr>
        <w:trPr/>
        <w:tc>
          <w:tcPr>
            <w:tcW w:w="7085" w:type="dxa"/>
            <w:tcBorders/>
            <w:shd w:fill="FFFFFF" w:val="clear"/>
            <w:vAlign w:val="center"/>
          </w:tcPr>
          <w:p>
            <w:pPr>
              <w:pStyle w:val="TableContents"/>
              <w:bidi w:val="0"/>
              <w:spacing w:before="0" w:after="283"/>
              <w:jc w:val="left"/>
              <w:rPr>
                <w:sz w:val="20"/>
              </w:rPr>
            </w:pPr>
            <w:r>
              <w:rPr>
                <w:sz w:val="20"/>
              </w:rPr>
              <w:t>Proceeds from issuance of stock and exercise of stock options</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81"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323</w:t>
            </w:r>
          </w:p>
        </w:tc>
        <w:tc>
          <w:tcPr>
            <w:tcW w:w="106"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8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61"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2,084</w:t>
            </w:r>
          </w:p>
        </w:tc>
        <w:tc>
          <w:tcPr>
            <w:tcW w:w="95" w:type="dxa"/>
            <w:tcBorders/>
            <w:shd w:fill="FFFFFF" w:val="clear"/>
            <w:vAlign w:val="center"/>
          </w:tcPr>
          <w:p>
            <w:pPr>
              <w:pStyle w:val="TableContents"/>
              <w:bidi w:val="0"/>
              <w:spacing w:before="0" w:after="283"/>
              <w:jc w:val="left"/>
              <w:rPr/>
            </w:pPr>
            <w:r>
              <w:rPr/>
              <w:t> </w:t>
            </w:r>
            <w:bookmarkStart w:id="230" w:name="xdx_401_eus-gaap--NetCashProvidedByUsedI"/>
            <w:bookmarkEnd w:id="230"/>
          </w:p>
        </w:tc>
      </w:tr>
      <w:tr>
        <w:trPr/>
        <w:tc>
          <w:tcPr>
            <w:tcW w:w="7085" w:type="dxa"/>
            <w:tcBorders/>
            <w:shd w:fill="CCEEFF" w:val="clear"/>
            <w:vAlign w:val="center"/>
          </w:tcPr>
          <w:p>
            <w:pPr>
              <w:pStyle w:val="TableContents"/>
              <w:bidi w:val="0"/>
              <w:spacing w:before="0" w:after="283"/>
              <w:jc w:val="left"/>
              <w:rPr>
                <w:sz w:val="20"/>
              </w:rPr>
            </w:pPr>
            <w:r>
              <w:rPr>
                <w:sz w:val="20"/>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16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81"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10,589</w:t>
            </w:r>
          </w:p>
        </w:tc>
        <w:tc>
          <w:tcPr>
            <w:tcW w:w="106"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8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61"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2,274</w:t>
            </w:r>
          </w:p>
        </w:tc>
        <w:tc>
          <w:tcPr>
            <w:tcW w:w="95" w:type="dxa"/>
            <w:tcBorders/>
            <w:shd w:fill="CCEEFF" w:val="clear"/>
            <w:vAlign w:val="center"/>
          </w:tcPr>
          <w:p>
            <w:pPr>
              <w:pStyle w:val="TableContents"/>
              <w:bidi w:val="0"/>
              <w:spacing w:before="0" w:after="283"/>
              <w:jc w:val="left"/>
              <w:rPr/>
            </w:pPr>
            <w:r>
              <w:rPr/>
              <w:t> </w:t>
            </w:r>
            <w:bookmarkStart w:id="231" w:name="xdx_40B_eus-gaap--CashCashEquivalentsRes"/>
            <w:bookmarkEnd w:id="231"/>
          </w:p>
        </w:tc>
      </w:tr>
      <w:tr>
        <w:trPr/>
        <w:tc>
          <w:tcPr>
            <w:tcW w:w="7085" w:type="dxa"/>
            <w:tcBorders/>
            <w:shd w:fill="FFFFFF" w:val="clear"/>
            <w:vAlign w:val="center"/>
          </w:tcPr>
          <w:p>
            <w:pPr>
              <w:pStyle w:val="TableContents"/>
              <w:bidi w:val="0"/>
              <w:spacing w:before="0" w:after="283"/>
              <w:jc w:val="left"/>
              <w:rPr>
                <w:sz w:val="20"/>
              </w:rPr>
            </w:pPr>
            <w:r>
              <w:rPr>
                <w:sz w:val="20"/>
              </w:rPr>
              <w:t>Decrease in cash</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sz w:val="20"/>
              </w:rPr>
            </w:pPr>
            <w:r>
              <w:rPr>
                <w:sz w:val="20"/>
              </w:rPr>
              <w:t>(121</w:t>
            </w:r>
          </w:p>
        </w:tc>
        <w:tc>
          <w:tcPr>
            <w:tcW w:w="106" w:type="dxa"/>
            <w:tcBorders/>
            <w:shd w:fill="FFFFFF" w:val="clear"/>
            <w:vAlign w:val="center"/>
          </w:tcPr>
          <w:p>
            <w:pPr>
              <w:pStyle w:val="TableContents"/>
              <w:bidi w:val="0"/>
              <w:spacing w:before="0" w:after="283"/>
              <w:jc w:val="left"/>
              <w:rPr>
                <w:sz w:val="20"/>
              </w:rPr>
            </w:pPr>
            <w:r>
              <w:rPr>
                <w:sz w:val="20"/>
              </w:rPr>
              <w:t>)</w:t>
            </w:r>
          </w:p>
        </w:tc>
        <w:tc>
          <w:tcPr>
            <w:tcW w:w="79"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right"/>
              <w:rPr>
                <w:sz w:val="20"/>
              </w:rPr>
            </w:pPr>
            <w:r>
              <w:rPr>
                <w:sz w:val="20"/>
              </w:rPr>
              <w:t>(313</w:t>
            </w:r>
          </w:p>
        </w:tc>
        <w:tc>
          <w:tcPr>
            <w:tcW w:w="95" w:type="dxa"/>
            <w:tcBorders/>
            <w:shd w:fill="FFFFFF" w:val="clear"/>
            <w:vAlign w:val="center"/>
          </w:tcPr>
          <w:p>
            <w:pPr>
              <w:pStyle w:val="TableContents"/>
              <w:bidi w:val="0"/>
              <w:spacing w:before="0" w:after="283"/>
              <w:jc w:val="left"/>
              <w:rPr>
                <w:sz w:val="20"/>
              </w:rPr>
            </w:pPr>
            <w:r>
              <w:rPr>
                <w:sz w:val="20"/>
              </w:rPr>
              <w:t>)</w:t>
            </w:r>
            <w:bookmarkStart w:id="232" w:name="xdx_406_eus-gaap--CashCashEquivalentsRes"/>
            <w:bookmarkEnd w:id="232"/>
          </w:p>
        </w:tc>
      </w:tr>
      <w:tr>
        <w:trPr/>
        <w:tc>
          <w:tcPr>
            <w:tcW w:w="7085" w:type="dxa"/>
            <w:tcBorders/>
            <w:shd w:fill="CCEEFF" w:val="clear"/>
            <w:vAlign w:val="center"/>
          </w:tcPr>
          <w:p>
            <w:pPr>
              <w:pStyle w:val="TableContents"/>
              <w:bidi w:val="0"/>
              <w:spacing w:before="0" w:after="283"/>
              <w:jc w:val="left"/>
              <w:rPr>
                <w:sz w:val="20"/>
              </w:rPr>
            </w:pPr>
            <w:r>
              <w:rPr>
                <w:sz w:val="20"/>
              </w:rPr>
              <w:t>Cash at beginning of period</w:t>
            </w:r>
          </w:p>
        </w:tc>
        <w:tc>
          <w:tcPr>
            <w:tcW w:w="60" w:type="dxa"/>
            <w:tcBorders/>
            <w:shd w:fill="CCEEFF" w:val="clear"/>
            <w:vAlign w:val="center"/>
          </w:tcPr>
          <w:p>
            <w:pPr>
              <w:pStyle w:val="TableContents"/>
              <w:bidi w:val="0"/>
              <w:spacing w:before="0" w:after="283"/>
              <w:jc w:val="left"/>
              <w:rPr/>
            </w:pPr>
            <w:r>
              <w:rPr/>
              <w:t> </w:t>
            </w:r>
          </w:p>
        </w:tc>
        <w:tc>
          <w:tcPr>
            <w:tcW w:w="16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81"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1,409</w:t>
            </w:r>
          </w:p>
        </w:tc>
        <w:tc>
          <w:tcPr>
            <w:tcW w:w="106"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8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61"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1,722</w:t>
            </w:r>
          </w:p>
        </w:tc>
        <w:tc>
          <w:tcPr>
            <w:tcW w:w="95" w:type="dxa"/>
            <w:tcBorders/>
            <w:shd w:fill="CCEEFF" w:val="clear"/>
            <w:vAlign w:val="center"/>
          </w:tcPr>
          <w:p>
            <w:pPr>
              <w:pStyle w:val="TableContents"/>
              <w:bidi w:val="0"/>
              <w:spacing w:before="0" w:after="283"/>
              <w:jc w:val="left"/>
              <w:rPr/>
            </w:pPr>
            <w:r>
              <w:rPr/>
              <w:t> </w:t>
            </w:r>
            <w:bookmarkStart w:id="233" w:name="xdx_409_eus-gaap--CashCashEquivalentsRes"/>
            <w:bookmarkEnd w:id="233"/>
          </w:p>
        </w:tc>
      </w:tr>
      <w:tr>
        <w:trPr/>
        <w:tc>
          <w:tcPr>
            <w:tcW w:w="7085" w:type="dxa"/>
            <w:tcBorders/>
            <w:shd w:fill="FFFFFF" w:val="clear"/>
            <w:vAlign w:val="center"/>
          </w:tcPr>
          <w:p>
            <w:pPr>
              <w:pStyle w:val="TableContents"/>
              <w:bidi w:val="0"/>
              <w:spacing w:before="0" w:after="283"/>
              <w:jc w:val="left"/>
              <w:rPr>
                <w:sz w:val="20"/>
              </w:rPr>
            </w:pPr>
            <w:r>
              <w:rPr>
                <w:sz w:val="20"/>
              </w:rPr>
              <w:t>Cash at end of period</w:t>
            </w:r>
          </w:p>
        </w:tc>
        <w:tc>
          <w:tcPr>
            <w:tcW w:w="60" w:type="dxa"/>
            <w:tcBorders/>
            <w:shd w:fill="FFFFFF" w:val="clear"/>
            <w:vAlign w:val="center"/>
          </w:tcPr>
          <w:p>
            <w:pPr>
              <w:pStyle w:val="TableContents"/>
              <w:bidi w:val="0"/>
              <w:spacing w:before="0" w:after="283"/>
              <w:jc w:val="left"/>
              <w:rPr/>
            </w:pPr>
            <w:r>
              <w:rPr/>
              <w:t> </w:t>
            </w:r>
          </w:p>
        </w:tc>
        <w:tc>
          <w:tcPr>
            <w:tcW w:w="165"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781"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1,288</w:t>
            </w:r>
          </w:p>
        </w:tc>
        <w:tc>
          <w:tcPr>
            <w:tcW w:w="106"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8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61"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1,409</w:t>
            </w:r>
          </w:p>
        </w:tc>
        <w:tc>
          <w:tcPr>
            <w:tcW w:w="95" w:type="dxa"/>
            <w:tcBorders/>
            <w:shd w:fill="FFFFFF" w:val="clear"/>
            <w:vAlign w:val="center"/>
          </w:tcPr>
          <w:p>
            <w:pPr>
              <w:pStyle w:val="TableContents"/>
              <w:bidi w:val="0"/>
              <w:spacing w:before="0" w:after="283"/>
              <w:jc w:val="left"/>
              <w:rPr/>
            </w:pPr>
            <w:r>
              <w:rPr/>
              <w:t> </w:t>
            </w:r>
          </w:p>
        </w:tc>
      </w:tr>
      <w:tr>
        <w:trPr/>
        <w:tc>
          <w:tcPr>
            <w:tcW w:w="70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781" w:type="dxa"/>
            <w:tcBorders/>
            <w:shd w:fill="CCEEFF" w:val="clear"/>
            <w:vAlign w:val="center"/>
          </w:tcPr>
          <w:p>
            <w:pPr>
              <w:pStyle w:val="TableContents"/>
              <w:bidi w:val="0"/>
              <w:spacing w:before="0" w:after="283"/>
              <w:jc w:val="right"/>
              <w:rPr/>
            </w:pPr>
            <w:r>
              <w:rPr/>
              <w:t> </w:t>
            </w:r>
          </w:p>
        </w:tc>
        <w:tc>
          <w:tcPr>
            <w:tcW w:w="106"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86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bookmarkStart w:id="234" w:name="xdx_402_eus-gaap--SupplementalCashFlowIn"/>
            <w:bookmarkEnd w:id="234"/>
          </w:p>
        </w:tc>
      </w:tr>
      <w:tr>
        <w:trPr/>
        <w:tc>
          <w:tcPr>
            <w:tcW w:w="7085" w:type="dxa"/>
            <w:tcBorders/>
            <w:shd w:fill="FFFFFF" w:val="clear"/>
            <w:vAlign w:val="center"/>
          </w:tcPr>
          <w:p>
            <w:pPr>
              <w:pStyle w:val="TableContents"/>
              <w:bidi w:val="0"/>
              <w:spacing w:before="0" w:after="283"/>
              <w:jc w:val="left"/>
              <w:rPr>
                <w:b/>
                <w:sz w:val="20"/>
              </w:rPr>
            </w:pPr>
            <w:r>
              <w:rPr>
                <w:b/>
                <w:sz w:val="20"/>
              </w:rPr>
              <w:t>Supplemental cash flow information:</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pPr>
            <w:r>
              <w:rPr/>
              <w:t> </w:t>
            </w:r>
          </w:p>
        </w:tc>
        <w:tc>
          <w:tcPr>
            <w:tcW w:w="106"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bookmarkStart w:id="235" w:name="xdx_401_eus-gaap--InterestPaidNet_i01_zK"/>
            <w:bookmarkEnd w:id="235"/>
          </w:p>
        </w:tc>
      </w:tr>
      <w:tr>
        <w:trPr/>
        <w:tc>
          <w:tcPr>
            <w:tcW w:w="7085" w:type="dxa"/>
            <w:tcBorders/>
            <w:shd w:fill="CCEEFF" w:val="clear"/>
            <w:vAlign w:val="center"/>
          </w:tcPr>
          <w:p>
            <w:pPr>
              <w:pStyle w:val="TableContents"/>
              <w:bidi w:val="0"/>
              <w:spacing w:before="0" w:after="283"/>
              <w:jc w:val="left"/>
              <w:rPr>
                <w:sz w:val="20"/>
              </w:rPr>
            </w:pPr>
            <w:r>
              <w:rPr>
                <w:sz w:val="20"/>
              </w:rPr>
              <w:t>Cash paid for interest</w:t>
            </w:r>
          </w:p>
        </w:tc>
        <w:tc>
          <w:tcPr>
            <w:tcW w:w="60" w:type="dxa"/>
            <w:tcBorders/>
            <w:shd w:fill="CCEEFF" w:val="clear"/>
            <w:vAlign w:val="center"/>
          </w:tcPr>
          <w:p>
            <w:pPr>
              <w:pStyle w:val="TableContents"/>
              <w:bidi w:val="0"/>
              <w:spacing w:before="0" w:after="283"/>
              <w:jc w:val="left"/>
              <w:rPr/>
            </w:pPr>
            <w:r>
              <w:rPr/>
              <w:t> </w:t>
            </w:r>
          </w:p>
        </w:tc>
        <w:tc>
          <w:tcPr>
            <w:tcW w:w="16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1,022</w:t>
            </w:r>
          </w:p>
        </w:tc>
        <w:tc>
          <w:tcPr>
            <w:tcW w:w="106"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861"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637</w:t>
            </w:r>
          </w:p>
        </w:tc>
        <w:tc>
          <w:tcPr>
            <w:tcW w:w="95" w:type="dxa"/>
            <w:tcBorders/>
            <w:shd w:fill="CCEEFF" w:val="clear"/>
            <w:vAlign w:val="center"/>
          </w:tcPr>
          <w:p>
            <w:pPr>
              <w:pStyle w:val="TableContents"/>
              <w:bidi w:val="0"/>
              <w:spacing w:before="0" w:after="283"/>
              <w:jc w:val="left"/>
              <w:rPr/>
            </w:pPr>
            <w:r>
              <w:rPr/>
              <w:t> </w:t>
            </w:r>
            <w:bookmarkStart w:id="236" w:name="xdx_40E_eus-gaap--IncomeTaxPaidFederalAf"/>
            <w:bookmarkEnd w:id="236"/>
          </w:p>
        </w:tc>
      </w:tr>
      <w:tr>
        <w:trPr/>
        <w:tc>
          <w:tcPr>
            <w:tcW w:w="7085" w:type="dxa"/>
            <w:tcBorders/>
            <w:shd w:fill="FFFFFF" w:val="clear"/>
            <w:vAlign w:val="center"/>
          </w:tcPr>
          <w:p>
            <w:pPr>
              <w:pStyle w:val="TableContents"/>
              <w:bidi w:val="0"/>
              <w:spacing w:before="0" w:after="283"/>
              <w:jc w:val="left"/>
              <w:rPr>
                <w:sz w:val="20"/>
              </w:rPr>
            </w:pPr>
            <w:r>
              <w:rPr>
                <w:sz w:val="20"/>
              </w:rPr>
              <w:t>Federal income taxes paid</w:t>
            </w:r>
          </w:p>
        </w:tc>
        <w:tc>
          <w:tcPr>
            <w:tcW w:w="60" w:type="dxa"/>
            <w:tcBorders/>
            <w:shd w:fill="FFFFFF" w:val="clear"/>
            <w:vAlign w:val="center"/>
          </w:tcPr>
          <w:p>
            <w:pPr>
              <w:pStyle w:val="TableContents"/>
              <w:bidi w:val="0"/>
              <w:spacing w:before="0" w:after="283"/>
              <w:jc w:val="left"/>
              <w:rPr/>
            </w:pPr>
            <w:r>
              <w:rPr/>
              <w:t> </w:t>
            </w:r>
          </w:p>
        </w:tc>
        <w:tc>
          <w:tcPr>
            <w:tcW w:w="16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106"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8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61"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bookmarkStart w:id="237" w:name="xdx_40E_eus-gaap--IncomeTaxPaidStateAndL"/>
            <w:bookmarkEnd w:id="237"/>
          </w:p>
        </w:tc>
      </w:tr>
      <w:tr>
        <w:trPr/>
        <w:tc>
          <w:tcPr>
            <w:tcW w:w="7085" w:type="dxa"/>
            <w:tcBorders/>
            <w:shd w:fill="CCEEFF" w:val="clear"/>
            <w:vAlign w:val="center"/>
          </w:tcPr>
          <w:p>
            <w:pPr>
              <w:pStyle w:val="TableContents"/>
              <w:bidi w:val="0"/>
              <w:spacing w:before="0" w:after="283"/>
              <w:jc w:val="left"/>
              <w:rPr>
                <w:sz w:val="20"/>
              </w:rPr>
            </w:pPr>
            <w:r>
              <w:rPr>
                <w:sz w:val="20"/>
              </w:rPr>
              <w:t>State income taxes paid</w:t>
            </w:r>
          </w:p>
        </w:tc>
        <w:tc>
          <w:tcPr>
            <w:tcW w:w="60" w:type="dxa"/>
            <w:tcBorders/>
            <w:shd w:fill="CCEEFF" w:val="clear"/>
            <w:vAlign w:val="center"/>
          </w:tcPr>
          <w:p>
            <w:pPr>
              <w:pStyle w:val="TableContents"/>
              <w:bidi w:val="0"/>
              <w:spacing w:before="0" w:after="283"/>
              <w:jc w:val="left"/>
              <w:rPr/>
            </w:pPr>
            <w:r>
              <w:rPr/>
              <w:t> </w:t>
            </w:r>
          </w:p>
        </w:tc>
        <w:tc>
          <w:tcPr>
            <w:tcW w:w="16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325</w:t>
            </w:r>
          </w:p>
        </w:tc>
        <w:tc>
          <w:tcPr>
            <w:tcW w:w="106"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861"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r>
      <w:tr>
        <w:trPr/>
        <w:tc>
          <w:tcPr>
            <w:tcW w:w="70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pPr>
            <w:r>
              <w:rPr/>
              <w:t> </w:t>
            </w:r>
          </w:p>
        </w:tc>
        <w:tc>
          <w:tcPr>
            <w:tcW w:w="106"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bookmarkStart w:id="238" w:name="xdx_400_eus-gaap--CashFlowNoncashInvesti"/>
            <w:bookmarkEnd w:id="238"/>
          </w:p>
        </w:tc>
      </w:tr>
      <w:tr>
        <w:trPr/>
        <w:tc>
          <w:tcPr>
            <w:tcW w:w="7085" w:type="dxa"/>
            <w:tcBorders/>
            <w:shd w:fill="CCEEFF" w:val="clear"/>
            <w:vAlign w:val="center"/>
          </w:tcPr>
          <w:p>
            <w:pPr>
              <w:pStyle w:val="TableContents"/>
              <w:bidi w:val="0"/>
              <w:spacing w:before="0" w:after="283"/>
              <w:jc w:val="left"/>
              <w:rPr>
                <w:b/>
                <w:sz w:val="20"/>
              </w:rPr>
            </w:pPr>
            <w:r>
              <w:rPr>
                <w:b/>
                <w:sz w:val="20"/>
              </w:rPr>
              <w:t>Supplemental non-cash investing and financing activities:</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781" w:type="dxa"/>
            <w:tcBorders/>
            <w:shd w:fill="CCEEFF" w:val="clear"/>
            <w:vAlign w:val="center"/>
          </w:tcPr>
          <w:p>
            <w:pPr>
              <w:pStyle w:val="TableContents"/>
              <w:bidi w:val="0"/>
              <w:spacing w:before="0" w:after="283"/>
              <w:jc w:val="right"/>
              <w:rPr/>
            </w:pPr>
            <w:r>
              <w:rPr/>
              <w:t> </w:t>
            </w:r>
          </w:p>
        </w:tc>
        <w:tc>
          <w:tcPr>
            <w:tcW w:w="106"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86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bookmarkStart w:id="239" w:name="xdx_406_eus-gaap--CapitalExpendituresInc"/>
            <w:bookmarkEnd w:id="239"/>
          </w:p>
        </w:tc>
      </w:tr>
      <w:tr>
        <w:trPr/>
        <w:tc>
          <w:tcPr>
            <w:tcW w:w="7085" w:type="dxa"/>
            <w:tcBorders/>
            <w:shd w:fill="FFFFFF" w:val="clear"/>
            <w:vAlign w:val="center"/>
          </w:tcPr>
          <w:p>
            <w:pPr>
              <w:pStyle w:val="TableContents"/>
              <w:bidi w:val="0"/>
              <w:spacing w:before="0" w:after="283"/>
              <w:jc w:val="left"/>
              <w:rPr>
                <w:sz w:val="20"/>
              </w:rPr>
            </w:pPr>
            <w:r>
              <w:rPr>
                <w:sz w:val="20"/>
              </w:rPr>
              <w:t>Accounts payable incurred for the purchase of equipment and leasehold improvements</w:t>
            </w:r>
          </w:p>
        </w:tc>
        <w:tc>
          <w:tcPr>
            <w:tcW w:w="60" w:type="dxa"/>
            <w:tcBorders/>
            <w:shd w:fill="FFFFFF" w:val="clear"/>
            <w:vAlign w:val="center"/>
          </w:tcPr>
          <w:p>
            <w:pPr>
              <w:pStyle w:val="TableContents"/>
              <w:bidi w:val="0"/>
              <w:spacing w:before="0" w:after="283"/>
              <w:jc w:val="left"/>
              <w:rPr/>
            </w:pPr>
            <w:r>
              <w:rPr/>
              <w:t> </w:t>
            </w:r>
          </w:p>
        </w:tc>
        <w:tc>
          <w:tcPr>
            <w:tcW w:w="165"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781"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382</w:t>
            </w:r>
          </w:p>
        </w:tc>
        <w:tc>
          <w:tcPr>
            <w:tcW w:w="106"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85"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861"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434</w:t>
            </w:r>
          </w:p>
        </w:tc>
        <w:tc>
          <w:tcPr>
            <w:tcW w:w="95" w:type="dxa"/>
            <w:tcBorders/>
            <w:shd w:fill="FFFFFF" w:val="clear"/>
            <w:vAlign w:val="center"/>
          </w:tcPr>
          <w:p>
            <w:pPr>
              <w:pStyle w:val="TableContents"/>
              <w:bidi w:val="0"/>
              <w:spacing w:before="0" w:after="283"/>
              <w:jc w:val="left"/>
              <w:rPr/>
            </w:pPr>
            <w:r>
              <w:rPr/>
              <w:t> </w:t>
            </w:r>
            <w:bookmarkStart w:id="240" w:name="xdx_409_eus-gaap--ConversionOfStockAmoun"/>
            <w:bookmarkEnd w:id="240"/>
          </w:p>
        </w:tc>
      </w:tr>
      <w:tr>
        <w:trPr/>
        <w:tc>
          <w:tcPr>
            <w:tcW w:w="7085" w:type="dxa"/>
            <w:tcBorders/>
            <w:shd w:fill="CCEEFF" w:val="clear"/>
            <w:vAlign w:val="center"/>
          </w:tcPr>
          <w:p>
            <w:pPr>
              <w:pStyle w:val="TableContents"/>
              <w:bidi w:val="0"/>
              <w:spacing w:before="0" w:after="283"/>
              <w:jc w:val="left"/>
              <w:rPr>
                <w:sz w:val="20"/>
              </w:rPr>
            </w:pPr>
            <w:r>
              <w:rPr>
                <w:sz w:val="20"/>
              </w:rPr>
              <w:t>Conversion of mezzanine preferred stock</w:t>
            </w:r>
          </w:p>
        </w:tc>
        <w:tc>
          <w:tcPr>
            <w:tcW w:w="60" w:type="dxa"/>
            <w:tcBorders/>
            <w:shd w:fill="CCEEFF" w:val="clear"/>
            <w:vAlign w:val="center"/>
          </w:tcPr>
          <w:p>
            <w:pPr>
              <w:pStyle w:val="TableContents"/>
              <w:bidi w:val="0"/>
              <w:spacing w:before="0" w:after="283"/>
              <w:jc w:val="left"/>
              <w:rPr/>
            </w:pPr>
            <w:r>
              <w:rPr/>
              <w:t> </w:t>
            </w:r>
          </w:p>
        </w:tc>
        <w:tc>
          <w:tcPr>
            <w:tcW w:w="16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106"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861"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6,000</w:t>
            </w:r>
          </w:p>
        </w:tc>
        <w:tc>
          <w:tcPr>
            <w:tcW w:w="95" w:type="dxa"/>
            <w:tcBorders/>
            <w:shd w:fill="CCEEFF" w:val="clear"/>
            <w:vAlign w:val="center"/>
          </w:tcPr>
          <w:p>
            <w:pPr>
              <w:pStyle w:val="TableContents"/>
              <w:bidi w:val="0"/>
              <w:spacing w:before="0" w:after="283"/>
              <w:jc w:val="left"/>
              <w:rPr/>
            </w:pPr>
            <w:r>
              <w:rPr/>
              <w:t> </w:t>
            </w:r>
            <w:bookmarkStart w:id="241" w:name="xdx_402_eus-gaap--RightOfUseAssetObtaine"/>
            <w:bookmarkEnd w:id="241"/>
          </w:p>
        </w:tc>
      </w:tr>
      <w:tr>
        <w:trPr/>
        <w:tc>
          <w:tcPr>
            <w:tcW w:w="7085" w:type="dxa"/>
            <w:tcBorders/>
            <w:shd w:fill="FFFFFF" w:val="clear"/>
            <w:vAlign w:val="center"/>
          </w:tcPr>
          <w:p>
            <w:pPr>
              <w:pStyle w:val="TableContents"/>
              <w:bidi w:val="0"/>
              <w:spacing w:before="0" w:after="283"/>
              <w:jc w:val="left"/>
              <w:rPr>
                <w:sz w:val="20"/>
              </w:rPr>
            </w:pPr>
            <w:r>
              <w:rPr>
                <w:sz w:val="20"/>
              </w:rPr>
              <w:t>Right-of-use asset obtained in exchange for a lease liability</w:t>
            </w:r>
          </w:p>
        </w:tc>
        <w:tc>
          <w:tcPr>
            <w:tcW w:w="60" w:type="dxa"/>
            <w:tcBorders/>
            <w:shd w:fill="FFFFFF" w:val="clear"/>
            <w:vAlign w:val="center"/>
          </w:tcPr>
          <w:p>
            <w:pPr>
              <w:pStyle w:val="TableContents"/>
              <w:bidi w:val="0"/>
              <w:spacing w:before="0" w:after="283"/>
              <w:jc w:val="left"/>
              <w:rPr/>
            </w:pPr>
            <w:r>
              <w:rPr/>
              <w:t> </w:t>
            </w:r>
          </w:p>
        </w:tc>
        <w:tc>
          <w:tcPr>
            <w:tcW w:w="165"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781"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430</w:t>
            </w:r>
          </w:p>
        </w:tc>
        <w:tc>
          <w:tcPr>
            <w:tcW w:w="106"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85"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861"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1,019</w:t>
            </w:r>
          </w:p>
        </w:tc>
        <w:tc>
          <w:tcPr>
            <w:tcW w:w="9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44" w:right="44" w:hanging="0"/>
        <w:jc w:val="center"/>
        <w:rPr>
          <w:caps w:val="false"/>
          <w:smallCaps w:val="false"/>
        </w:rPr>
      </w:pPr>
      <w:r>
        <w:rPr>
          <w:caps w:val="false"/>
          <w:smallCaps w:val="false"/>
        </w:rPr>
        <w:t> </w:t>
      </w:r>
    </w:p>
    <w:p>
      <w:pPr>
        <w:pStyle w:val="TextBody"/>
        <w:bidi w:val="0"/>
        <w:spacing w:before="0" w:after="0"/>
        <w:ind w:left="44" w:right="44"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(See accompanying Notes to Consolidated Financial Statements)</w:t>
      </w:r>
    </w:p>
    <w:p>
      <w:pPr>
        <w:pStyle w:val="TextBody"/>
        <w:bidi w:val="0"/>
        <w:spacing w:before="0" w:after="0"/>
        <w:ind w:left="44" w:right="44" w:hanging="0"/>
        <w:jc w:val="center"/>
        <w:rPr>
          <w:caps w:val="false"/>
          <w:smallCaps w:val="false"/>
        </w:rPr>
      </w:pPr>
      <w:r>
        <w:rPr>
          <w:caps w:val="false"/>
          <w:smallCaps w:val="false"/>
        </w:rPr>
        <w:t> </w:t>
      </w:r>
    </w:p>
    <w:p>
      <w:pPr>
        <w:pStyle w:val="TextBody"/>
        <w:bidi w:val="0"/>
        <w:spacing w:before="0" w:after="0"/>
        <w:ind w:left="44" w:right="44"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F-7 </w:t>
      </w:r>
    </w:p>
    <w:p>
      <w:pPr>
        <w:pStyle w:val="TextBody"/>
        <w:bidi w:val="0"/>
        <w:spacing w:before="0" w:after="0"/>
        <w:ind w:left="44" w:right="44"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SOLÉSENCE, INC.</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42" w:name="solesence10kb006"/>
      <w:bookmarkEnd w:id="242"/>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 except share and per share data or as otherwise noted herein)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43" w:name="xdx_80F_eus-gaap--NatureOfOperations_zS6"/>
      <w:bookmarkEnd w:id="243"/>
      <w:r>
        <w:rPr>
          <w:rFonts w:ascii="Times New Roman;Times;Serif" w:hAnsi="Times New Roman;Times;Serif"/>
          <w:b/>
          <w:i w:val="false"/>
          <w:caps w:val="false"/>
          <w:smallCaps w:val="false"/>
          <w:sz w:val="20"/>
        </w:rPr>
        <w:t xml:space="preserve">(1) </w:t>
      </w:r>
      <w:bookmarkStart w:id="244" w:name="xdx_82E_zJZxF3c75yp6"/>
      <w:bookmarkEnd w:id="244"/>
      <w:r>
        <w:rPr>
          <w:rFonts w:ascii="Times New Roman;Times;Serif" w:hAnsi="Times New Roman;Times;Serif"/>
          <w:b/>
          <w:i w:val="false"/>
          <w:caps w:val="false"/>
          <w:smallCaps w:val="false"/>
          <w:sz w:val="20"/>
        </w:rPr>
        <w:t>Description of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Solésence, Inc. (“Solésence”, “Company”, “we”, “our”, or “us”) is a science-driven company which, along with its wholly owned subsidiary, Solésence, LLC (our “Solésence beauty science subsidiary”), is focused in various beauty- and life-science markets.  Using consumer health as our end-goal and science and innovation to guide the path, skin health and medical diagnostics combined currently make up the majority of our business and drive our forward growth strategy.  We offer engineered materials, formulation development and commercial manufacturing through an integrated family of technologies. Our expertise in materials engineering allows us to effectively coat and disperse particles on a nano and “non-nano” scale for use in a variety of skin health markets, including for use in sunscreens as active ingredients and as fully developed prestige skin care and cosmetics products, marketed and sold through our Solésence beauty science subsidiary.  In terms of our life sciences focus, we have seen demand decrease for our medical diagnostics ingredients. Additionally, we continue to sell products in legacy markets, including architectural coatings, industrial coating applications, abrasion-resistant additives, plastics additives, all of which, along with medical diagnostics, fall into the advanced materials product category.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target markets, primarily related to skin health products and ingredients, as well as diagnostic life sciences ingredients where we believe our materials and products offer practical and competitive minerals-based solutions. We traditionally work closely with current customers in these target markets to identify their material and performance requirements. We market our materials to various end-use applications manufacturers, and our Solésence® products to cosmetics and skin care brands.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Recently developed technologies have made certain new products possible and opened potential new markets. During 2015 we were granted a patent on a new type of particle surface treatment (coating) — now called Active Stress Defense ™ Technology — which became the cornerstone of our new product development in personal care, with first revenue recognized during 2016. Active Stress Defense™ now refers to a suite of three proprietary technologies — Original Active Stress Defense™, Kleair™, and Bloom™ — all three of which either utilize a unique and proprietary, mineral-based technology or work synergistically with one of our unique and proprietary, mineral-based technologies to improve performance and/or aesthetics. Our ongoing innovation efforts include new IP in areas that advance environmental protection, align with market needs, and complement our existing technologies. Through the creation of our Solésence beauty science subsidiary, we utilize our technology suite to manufacture and sell fully developed solutions to targeted customers in the skin care industry, typically in prestige skin care and cosmetics markets, in addition to the ingredients we have traditionally sold in the personal care area.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our primary strategic focus has been the North American market, we currently sell materials to customers overseas and have been working to expand our reach within foreign markets. On April 8, 2025 the Company’s securities were uplisted to Nasdaq trading under the symbol SLSN. Prior to listing on Nasdaq our common stock traded on the OTCQB marketplace under the symbol NANX.</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product sales comprise the majority of our revenue, we also recognize revenue from other sources from time to time. These activities are not expected to drive the long-term growth of the business. For this reason, we classify such revenue as “other revenue” in our Consolidated Statements of Operations, as it does not represent revenue directly from the sale of our products.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SEC Release 33-10513; 34-83550, Amendments to Smaller Reporting Company Definition, the Company qualifies as a smaller reporting company and accordingly, it has scaled some of its disclosures of financial and non-financial information in this annual report. The Company will continue to determine whether to provide additional scaled disclosures of financial or non-financial information in future quarterly reports, annual reports and/or proxy statements if it remains a smaller reporting company under SEC rules.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45" w:name="xdx_808_eus-gaap--SignificantAccountingP"/>
      <w:bookmarkEnd w:id="245"/>
      <w:r>
        <w:rPr>
          <w:rFonts w:ascii="Times New Roman;Times;Serif" w:hAnsi="Times New Roman;Times;Serif"/>
          <w:b/>
          <w:i w:val="false"/>
          <w:caps w:val="false"/>
          <w:smallCaps w:val="false"/>
          <w:sz w:val="20"/>
        </w:rPr>
        <w:t xml:space="preserve">(2) </w:t>
      </w:r>
      <w:bookmarkStart w:id="246" w:name="xdx_822_zHcoH9AhBpCg"/>
      <w:bookmarkEnd w:id="246"/>
      <w:r>
        <w:rPr>
          <w:rFonts w:ascii="Times New Roman;Times;Serif" w:hAnsi="Times New Roman;Times;Serif"/>
          <w:b/>
          <w:i w:val="false"/>
          <w:caps w:val="false"/>
          <w:smallCaps w:val="false"/>
          <w:sz w:val="20"/>
        </w:rPr>
        <w:t>Significant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47" w:name="xdx_86C_zFQddqqQybBk"/>
      <w:bookmarkStart w:id="248" w:name="xdx_845_eus-gaap--UseOfEstimates_zTv28sb"/>
      <w:bookmarkEnd w:id="247"/>
      <w:bookmarkEnd w:id="248"/>
      <w:r>
        <w:rPr>
          <w:rFonts w:ascii="Times New Roman;Times;Serif" w:hAnsi="Times New Roman;Times;Serif"/>
          <w:b/>
          <w:i w:val="false"/>
          <w:caps w:val="false"/>
          <w:smallCaps w:val="false"/>
          <w:sz w:val="20"/>
        </w:rPr>
        <w:t>Use of Estimates and Risks and Uncertainties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financial statements requires us to make estimates and assumptions that affect the amounts reported in the financial statements and accompanying notes. Actual results could differ from those estimates. Certain assumptions are also necessary to assess the impact of risks and uncertainties on the financial statements, such as cash flow projections, availability of capital if needed to support the ongoing operations of the business, and our expected compliance with contractual commitments. These risks and uncertainties are further discussed in Note 12. Any changes in these assumptions or business plans could have a material impact on the financial statements.</w:t>
      </w:r>
    </w:p>
    <w:p>
      <w:pPr>
        <w:pStyle w:val="TextBody"/>
        <w:bidi w:val="0"/>
        <w:spacing w:before="0" w:after="0"/>
        <w:ind w:left="0" w:right="0" w:firstLine="720"/>
        <w:jc w:val="both"/>
        <w:rPr>
          <w:caps w:val="false"/>
          <w:smallCaps w:val="false"/>
        </w:rPr>
      </w:pPr>
      <w:bookmarkStart w:id="249" w:name="xdx_85A_zHwiJBecuswd"/>
      <w:bookmarkEnd w:id="249"/>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F-8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50" w:name="xdx_863_zaQY0huVb5v3"/>
      <w:bookmarkStart w:id="251" w:name="xdx_849_eus-gaap--CashAndCashEquivalents"/>
      <w:bookmarkEnd w:id="250"/>
      <w:bookmarkEnd w:id="251"/>
      <w:r>
        <w:rPr>
          <w:rFonts w:ascii="Times New Roman;Times;Serif" w:hAnsi="Times New Roman;Times;Serif"/>
          <w:b/>
          <w:i w:val="false"/>
          <w:caps w:val="false"/>
          <w:smallCaps w:val="false"/>
          <w:sz w:val="20"/>
        </w:rPr>
        <w:t>Cash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Cash balance on December 31, 2025 consists of funds borrowed from our Revolving Line of Credit, which is facilitated by Beachcorp, LLC. Our ability to access cash from our credit facilities depends on carrying an Accounts Receivable or Inventory balance greater than the outstanding loan balances in the Revolving Lines of Credit. As part of the agreement, we are required to have a bank account in place to act as a depository account for our customers. This account is referred to as the Control Account. Furthermore, there is an Account Control Agreement in place which provides Beachcorp, LLC the ability to exercise control over the account via approval of requested transfers. According to our agreements with Beachcorp, LLC, Solésence is to be the party initiating any transfers, whether to Solésence or to Beachcorp, LLC, and approval to access any monies within this account can only be withheld by Beachcorp, LLC if the borrowing base falls below the Company’s qualified receivables, or if we are in arrears with respect to interest payments due Beachcorp, LLC. The failure of Solésence to remedy the previously mentioned conditions could lead to Beachcorp, LLC gaining the right, through a “springing” feature administered by Libertyville Bank and Trust, a Wintrust Community Bank (“Libertyville”), to transfer funds to itself without direct approval from Solésence. Cash is held at a federally insured institution, but our cash balances at times exceed insured limits. The Company has not experienced any losses related to these statutory limits.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52" w:name="xdx_862_zlxvRaFP2Uu9"/>
      <w:bookmarkStart w:id="253" w:name="xdx_845_eus-gaap--TradeAndOtherAccountsR"/>
      <w:bookmarkEnd w:id="252"/>
      <w:bookmarkEnd w:id="253"/>
      <w:r>
        <w:rPr>
          <w:rFonts w:ascii="Times New Roman;Times;Serif" w:hAnsi="Times New Roman;Times;Serif"/>
          <w:b/>
          <w:i w:val="false"/>
          <w:caps w:val="false"/>
          <w:smallCaps w:val="false"/>
          <w:sz w:val="20"/>
        </w:rPr>
        <w:t>Trade Accounts Receivable,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bookmarkStart w:id="254" w:name="xdx_89C_eus-gaap--AccountsReceivableAllo"/>
      <w:bookmarkEnd w:id="254"/>
      <w:r>
        <w:rPr>
          <w:rFonts w:ascii="Times New Roman;Times;Serif" w:hAnsi="Times New Roman;Times;Serif"/>
          <w:b w:val="false"/>
          <w:i w:val="false"/>
          <w:caps w:val="false"/>
          <w:smallCaps w:val="false"/>
          <w:sz w:val="20"/>
        </w:rPr>
        <w:t xml:space="preserve">Trade accounts receivable are carried at original invoice amount less an estimate made for future credit losses based on a review of all outstanding amounts on a monthly basis, and written off when deemed uncollectible </w:t>
      </w:r>
      <w:bookmarkStart w:id="255" w:name="xdx_8BE_z9ViujGDcIee"/>
      <w:bookmarkEnd w:id="255"/>
      <w:r>
        <w:rPr>
          <w:rFonts w:ascii="Times New Roman;Times;Serif" w:hAnsi="Times New Roman;Times;Serif"/>
          <w:b w:val="false"/>
          <w:i w:val="false"/>
          <w:caps w:val="false"/>
          <w:smallCaps w:val="false"/>
          <w:sz w:val="20"/>
        </w:rPr>
        <w:t>We determine the allowance for credit losses by identifying troubled accounts and by using historical experience applied to an aging of accounts, as well as expected losses based on the current and anticipated macroeconomic environment. Recoveries of trade accounts receivable previously written off are recorded when received. Our typical credit terms are between thirty and sixty days from shipment and invoicing.</w:t>
      </w:r>
    </w:p>
    <w:p>
      <w:pPr>
        <w:pStyle w:val="TextBody"/>
        <w:bidi w:val="0"/>
        <w:spacing w:before="0" w:after="0"/>
        <w:ind w:left="0" w:right="0" w:firstLine="720"/>
        <w:jc w:val="both"/>
        <w:rPr>
          <w:caps w:val="false"/>
          <w:smallCaps w:val="false"/>
        </w:rPr>
      </w:pPr>
      <w:r>
        <w:rPr>
          <w:caps w:val="false"/>
          <w:smallCaps w:val="false"/>
        </w:rPr>
        <w:t> </w:t>
      </w:r>
    </w:p>
    <w:tbl>
      <w:tblPr>
        <w:tblW w:w="3890" w:type="dxa"/>
        <w:jc w:val="left"/>
        <w:tblInd w:w="0" w:type="dxa"/>
        <w:tblLayout w:type="fixed"/>
        <w:tblCellMar>
          <w:top w:w="0" w:type="dxa"/>
          <w:left w:w="0" w:type="dxa"/>
          <w:bottom w:w="0" w:type="dxa"/>
          <w:right w:w="0" w:type="dxa"/>
        </w:tblCellMar>
      </w:tblPr>
      <w:tblGrid>
        <w:gridCol w:w="2450"/>
        <w:gridCol w:w="60"/>
        <w:gridCol w:w="140"/>
        <w:gridCol w:w="455"/>
        <w:gridCol w:w="95"/>
        <w:gridCol w:w="60"/>
        <w:gridCol w:w="140"/>
        <w:gridCol w:w="380"/>
        <w:gridCol w:w="110"/>
      </w:tblGrid>
      <w:tr>
        <w:trPr/>
        <w:tc>
          <w:tcPr>
            <w:tcW w:w="24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56" w:name="xdx_49D_20250101__20251231_zJkS1u1gbxq1"/>
            <w:bookmarkEnd w:id="256"/>
          </w:p>
        </w:tc>
        <w:tc>
          <w:tcPr>
            <w:tcW w:w="5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57" w:name="xdx_49E_20240101__20241231_ztoNgGRrv0yg"/>
            <w:bookmarkEnd w:id="257"/>
          </w:p>
        </w:tc>
        <w:tc>
          <w:tcPr>
            <w:tcW w:w="5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bookmarkStart w:id="258" w:name="xdx_404_eus-gaap--AllowanceForDoubtfulAc"/>
            <w:bookmarkEnd w:id="258"/>
          </w:p>
        </w:tc>
      </w:tr>
      <w:tr>
        <w:trPr/>
        <w:tc>
          <w:tcPr>
            <w:tcW w:w="2450" w:type="dxa"/>
            <w:tcBorders/>
            <w:shd w:fill="CCEEFF" w:val="clear"/>
            <w:vAlign w:val="center"/>
          </w:tcPr>
          <w:p>
            <w:pPr>
              <w:pStyle w:val="TableContents"/>
              <w:bidi w:val="0"/>
              <w:spacing w:before="0" w:after="283"/>
              <w:jc w:val="left"/>
              <w:rPr/>
            </w:pPr>
            <w:r>
              <w:rPr/>
              <w:t>Balance, beginning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455" w:type="dxa"/>
            <w:tcBorders/>
            <w:shd w:fill="CCEEFF" w:val="clear"/>
            <w:vAlign w:val="center"/>
          </w:tcPr>
          <w:p>
            <w:pPr>
              <w:pStyle w:val="TableContents"/>
              <w:bidi w:val="0"/>
              <w:spacing w:before="0" w:after="283"/>
              <w:jc w:val="right"/>
              <w:rPr/>
            </w:pPr>
            <w:r>
              <w:rPr/>
              <w:t>786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380" w:type="dxa"/>
            <w:tcBorders/>
            <w:shd w:fill="CCEEFF" w:val="clear"/>
            <w:vAlign w:val="center"/>
          </w:tcPr>
          <w:p>
            <w:pPr>
              <w:pStyle w:val="TableContents"/>
              <w:bidi w:val="0"/>
              <w:spacing w:before="0" w:after="283"/>
              <w:jc w:val="right"/>
              <w:rPr/>
            </w:pPr>
            <w:r>
              <w:rPr/>
              <w:t>225</w:t>
            </w:r>
          </w:p>
        </w:tc>
        <w:tc>
          <w:tcPr>
            <w:tcW w:w="110" w:type="dxa"/>
            <w:tcBorders/>
            <w:shd w:fill="CCEEFF" w:val="clear"/>
            <w:vAlign w:val="center"/>
          </w:tcPr>
          <w:p>
            <w:pPr>
              <w:pStyle w:val="TableContents"/>
              <w:bidi w:val="0"/>
              <w:spacing w:before="0" w:after="283"/>
              <w:jc w:val="left"/>
              <w:rPr/>
            </w:pPr>
            <w:r>
              <w:rPr/>
              <w:t> </w:t>
            </w:r>
            <w:bookmarkStart w:id="259" w:name="xdx_407_eus-gaap--ProvisionForDoubtfulAc"/>
            <w:bookmarkEnd w:id="259"/>
          </w:p>
        </w:tc>
      </w:tr>
      <w:tr>
        <w:trPr/>
        <w:tc>
          <w:tcPr>
            <w:tcW w:w="2450" w:type="dxa"/>
            <w:tcBorders/>
            <w:shd w:fill="FFFFFF" w:val="clear"/>
            <w:vAlign w:val="center"/>
          </w:tcPr>
          <w:p>
            <w:pPr>
              <w:pStyle w:val="TableContents"/>
              <w:bidi w:val="0"/>
              <w:spacing w:before="0" w:after="283"/>
              <w:jc w:val="left"/>
              <w:rPr/>
            </w:pPr>
            <w:r>
              <w:rPr/>
              <w:t>Current period provisions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pPr>
            <w:r>
              <w:rPr/>
              <w:t>836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right"/>
              <w:rPr/>
            </w:pPr>
            <w:r>
              <w:rPr/>
              <w:t>564</w:t>
            </w:r>
          </w:p>
        </w:tc>
        <w:tc>
          <w:tcPr>
            <w:tcW w:w="110" w:type="dxa"/>
            <w:tcBorders/>
            <w:shd w:fill="FFFFFF" w:val="clear"/>
            <w:vAlign w:val="center"/>
          </w:tcPr>
          <w:p>
            <w:pPr>
              <w:pStyle w:val="TableContents"/>
              <w:bidi w:val="0"/>
              <w:spacing w:before="0" w:after="283"/>
              <w:jc w:val="left"/>
              <w:rPr/>
            </w:pPr>
            <w:r>
              <w:rPr/>
              <w:t> </w:t>
            </w:r>
            <w:bookmarkStart w:id="260" w:name="xdx_40A_eus-gaap--AllowanceForDoubtfulAc"/>
            <w:bookmarkEnd w:id="260"/>
          </w:p>
        </w:tc>
      </w:tr>
      <w:tr>
        <w:trPr/>
        <w:tc>
          <w:tcPr>
            <w:tcW w:w="2450" w:type="dxa"/>
            <w:tcBorders/>
            <w:shd w:fill="CCEEFF" w:val="clear"/>
            <w:vAlign w:val="center"/>
          </w:tcPr>
          <w:p>
            <w:pPr>
              <w:pStyle w:val="TableContents"/>
              <w:bidi w:val="0"/>
              <w:spacing w:before="0" w:after="283"/>
              <w:jc w:val="left"/>
              <w:rPr/>
            </w:pPr>
            <w:r>
              <w:rPr/>
              <w:t>Write offs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55" w:type="dxa"/>
            <w:tcBorders>
              <w:bottom w:val="single" w:sz="8" w:space="0" w:color="000000"/>
            </w:tcBorders>
            <w:shd w:fill="CCEEFF" w:val="clear"/>
            <w:tcMar>
              <w:bottom w:w="28" w:type="dxa"/>
            </w:tcMar>
            <w:vAlign w:val="center"/>
          </w:tcPr>
          <w:p>
            <w:pPr>
              <w:pStyle w:val="TableContents"/>
              <w:bidi w:val="0"/>
              <w:spacing w:before="0" w:after="283"/>
              <w:jc w:val="right"/>
              <w:rPr/>
            </w:pPr>
            <w:r>
              <w:rPr/>
              <w:t>(816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380" w:type="dxa"/>
            <w:tcBorders>
              <w:bottom w:val="single" w:sz="8" w:space="0" w:color="000000"/>
            </w:tcBorders>
            <w:shd w:fill="CCEEFF" w:val="clear"/>
            <w:tcMar>
              <w:bottom w:w="28" w:type="dxa"/>
            </w:tcMar>
            <w:vAlign w:val="center"/>
          </w:tcPr>
          <w:p>
            <w:pPr>
              <w:pStyle w:val="TableContents"/>
              <w:bidi w:val="0"/>
              <w:spacing w:before="0" w:after="283"/>
              <w:jc w:val="right"/>
              <w:rPr/>
            </w:pPr>
            <w:r>
              <w:rPr/>
              <w:t>(3</w:t>
            </w:r>
          </w:p>
        </w:tc>
        <w:tc>
          <w:tcPr>
            <w:tcW w:w="110" w:type="dxa"/>
            <w:tcBorders/>
            <w:shd w:fill="CCEEFF" w:val="clear"/>
            <w:vAlign w:val="center"/>
          </w:tcPr>
          <w:p>
            <w:pPr>
              <w:pStyle w:val="TableContents"/>
              <w:bidi w:val="0"/>
              <w:spacing w:before="0" w:after="283"/>
              <w:jc w:val="left"/>
              <w:rPr/>
            </w:pPr>
            <w:r>
              <w:rPr/>
              <w:t>)</w:t>
            </w:r>
            <w:bookmarkStart w:id="261" w:name="xdx_403_eus-gaap--AllowanceForDoubtfulAc"/>
            <w:bookmarkEnd w:id="261"/>
          </w:p>
        </w:tc>
      </w:tr>
      <w:tr>
        <w:trPr/>
        <w:tc>
          <w:tcPr>
            <w:tcW w:w="2450" w:type="dxa"/>
            <w:tcBorders/>
            <w:shd w:fill="FFFFFF" w:val="clear"/>
            <w:vAlign w:val="center"/>
          </w:tcPr>
          <w:p>
            <w:pPr>
              <w:pStyle w:val="TableContents"/>
              <w:bidi w:val="0"/>
              <w:spacing w:before="0" w:after="283"/>
              <w:jc w:val="left"/>
              <w:rPr/>
            </w:pPr>
            <w:r>
              <w:rPr/>
              <w:t>Balance, ending</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455" w:type="dxa"/>
            <w:tcBorders>
              <w:bottom w:val="double" w:sz="6" w:space="0" w:color="000000"/>
            </w:tcBorders>
            <w:shd w:fill="FFFFFF" w:val="clear"/>
            <w:tcMar>
              <w:bottom w:w="28" w:type="dxa"/>
            </w:tcMar>
            <w:vAlign w:val="center"/>
          </w:tcPr>
          <w:p>
            <w:pPr>
              <w:pStyle w:val="TableContents"/>
              <w:bidi w:val="0"/>
              <w:spacing w:before="0" w:after="283"/>
              <w:jc w:val="right"/>
              <w:rPr/>
            </w:pPr>
            <w:r>
              <w:rPr/>
              <w:t>806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380" w:type="dxa"/>
            <w:tcBorders>
              <w:bottom w:val="double" w:sz="6" w:space="0" w:color="000000"/>
            </w:tcBorders>
            <w:shd w:fill="FFFFFF" w:val="clear"/>
            <w:tcMar>
              <w:bottom w:w="28" w:type="dxa"/>
            </w:tcMar>
            <w:vAlign w:val="center"/>
          </w:tcPr>
          <w:p>
            <w:pPr>
              <w:pStyle w:val="TableContents"/>
              <w:bidi w:val="0"/>
              <w:spacing w:before="0" w:after="283"/>
              <w:jc w:val="right"/>
              <w:rPr/>
            </w:pPr>
            <w:r>
              <w:rPr/>
              <w:t>786</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262" w:name="xdx_8A3_zI4J7NRLBEq9"/>
      <w:bookmarkEnd w:id="262"/>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63" w:name="xdx_86A_zDuayltiB207"/>
      <w:bookmarkStart w:id="264" w:name="xdx_84F_eus-gaap--InventoryPolicyTextBlo"/>
      <w:bookmarkEnd w:id="263"/>
      <w:bookmarkEnd w:id="264"/>
      <w:r>
        <w:rPr>
          <w:rFonts w:ascii="Times New Roman;Times;Serif" w:hAnsi="Times New Roman;Times;Serif"/>
          <w:b/>
          <w:i w:val="false"/>
          <w:caps w:val="false"/>
          <w:smallCaps w:val="false"/>
          <w:sz w:val="20"/>
        </w:rPr>
        <w:t>Inventories,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Inventories are stated at the lower of cost, maintained on an average cost basis, or net realizable value. We have recorded allowances to reduce inventory relating to excess quantities of certain materials. Write-downs of inventories establish a new cost basis, which is not increased for future increases in market value of inventories or changes in estimated excess quantities.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65" w:name="xdx_86A_zolRXjK61wXa"/>
      <w:bookmarkStart w:id="266" w:name="xdx_84F_eus-gaap--PropertyPlantAndEquipm"/>
      <w:bookmarkEnd w:id="265"/>
      <w:bookmarkEnd w:id="266"/>
      <w:r>
        <w:rPr>
          <w:rFonts w:ascii="Times New Roman;Times;Serif" w:hAnsi="Times New Roman;Times;Serif"/>
          <w:b/>
          <w:i w:val="false"/>
          <w:caps w:val="false"/>
          <w:smallCaps w:val="false"/>
          <w:sz w:val="20"/>
        </w:rPr>
        <w:t>Equipment and Leasehold Improvements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Equipment is stated at cost and is being depreciated over its estimated useful life (</w:t>
      </w:r>
      <w:bookmarkStart w:id="267" w:name="xdx_907_eus-gaap--PropertyPlantAndEquipm"/>
      <w:bookmarkEnd w:id="267"/>
      <w:r>
        <w:rPr>
          <w:rFonts w:ascii="Times New Roman;Times;Serif" w:hAnsi="Times New Roman;Times;Serif"/>
          <w:b w:val="false"/>
          <w:i w:val="false"/>
          <w:caps w:val="false"/>
          <w:smallCaps w:val="false"/>
          <w:sz w:val="20"/>
        </w:rPr>
        <w:t>3-</w:t>
      </w:r>
      <w:bookmarkStart w:id="268" w:name="xdx_908_eus-gaap--PropertyPlantAndEquipm"/>
      <w:bookmarkEnd w:id="268"/>
      <w:r>
        <w:rPr>
          <w:rFonts w:ascii="Times New Roman;Times;Serif" w:hAnsi="Times New Roman;Times;Serif"/>
          <w:b w:val="false"/>
          <w:i w:val="false"/>
          <w:caps w:val="false"/>
          <w:smallCaps w:val="false"/>
          <w:sz w:val="20"/>
        </w:rPr>
        <w:t>20 years) using the straight-line method. Leasehold improvements are stated at cost and are being amortized using the straight-line method over the shorter of the useful life of the asset or the term of the lease (</w:t>
      </w:r>
      <w:bookmarkStart w:id="269" w:name="xdx_90E_eus-gaap--PropertyPlantAndEquipm"/>
      <w:bookmarkEnd w:id="269"/>
      <w:r>
        <w:rPr>
          <w:rFonts w:ascii="Times New Roman;Times;Serif" w:hAnsi="Times New Roman;Times;Serif"/>
          <w:b w:val="false"/>
          <w:i w:val="false"/>
          <w:caps w:val="false"/>
          <w:smallCaps w:val="false"/>
          <w:sz w:val="20"/>
        </w:rPr>
        <w:t>3-</w:t>
      </w:r>
      <w:bookmarkStart w:id="270" w:name="xdx_907_eus-gaap--PropertyPlantAndEquipm"/>
      <w:bookmarkEnd w:id="270"/>
      <w:r>
        <w:rPr>
          <w:rFonts w:ascii="Times New Roman;Times;Serif" w:hAnsi="Times New Roman;Times;Serif"/>
          <w:b w:val="false"/>
          <w:i w:val="false"/>
          <w:caps w:val="false"/>
          <w:smallCaps w:val="false"/>
          <w:sz w:val="20"/>
        </w:rPr>
        <w:t>7 years). Depreciation expense for leased assets is included with depreciation expense for owned assets. From time to time we have self-constructed assets. These assets are stated at cost plus the capitalization of labor and are depreciated over an estimated useful life (</w:t>
      </w:r>
      <w:bookmarkStart w:id="271" w:name="xdx_904_eus-gaap--PropertyPlantAndEquipm"/>
      <w:bookmarkEnd w:id="271"/>
      <w:r>
        <w:rPr>
          <w:rFonts w:ascii="Times New Roman;Times;Serif" w:hAnsi="Times New Roman;Times;Serif"/>
          <w:b w:val="false"/>
          <w:i w:val="false"/>
          <w:caps w:val="false"/>
          <w:smallCaps w:val="false"/>
          <w:sz w:val="20"/>
        </w:rPr>
        <w:t>7-</w:t>
      </w:r>
      <w:bookmarkStart w:id="272" w:name="xdx_90C_eus-gaap--PropertyPlantAndEquipm"/>
      <w:bookmarkEnd w:id="272"/>
      <w:r>
        <w:rPr>
          <w:rFonts w:ascii="Times New Roman;Times;Serif" w:hAnsi="Times New Roman;Times;Serif"/>
          <w:b w:val="false"/>
          <w:i w:val="false"/>
          <w:caps w:val="false"/>
          <w:smallCaps w:val="false"/>
          <w:sz w:val="20"/>
        </w:rPr>
        <w:t>10 years) using the straight-line method.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73" w:name="xdx_86E_zokgyYtrzpSi"/>
      <w:bookmarkStart w:id="274" w:name="xdx_841_eus-gaap--ImpairmentOrDisposalOf"/>
      <w:bookmarkEnd w:id="273"/>
      <w:bookmarkEnd w:id="274"/>
      <w:r>
        <w:rPr>
          <w:rFonts w:ascii="Times New Roman;Times;Serif" w:hAnsi="Times New Roman;Times;Serif"/>
          <w:b/>
          <w:i w:val="false"/>
          <w:caps w:val="false"/>
          <w:smallCaps w:val="false"/>
          <w:sz w:val="20"/>
        </w:rPr>
        <w:t>Long Lived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review long-lived assets for impairment whenever events or changes in circumstances indicate that the asset’s carrying amount may not be recoverable. We conduct long-lived asset impairment analyses in accordance with ASC 360-10-15, </w:t>
      </w:r>
      <w:r>
        <w:rPr>
          <w:rFonts w:ascii="Times New Roman;Times;Serif" w:hAnsi="Times New Roman;Times;Serif"/>
          <w:b w:val="false"/>
          <w:i/>
          <w:caps w:val="false"/>
          <w:smallCaps w:val="false"/>
          <w:sz w:val="20"/>
        </w:rPr>
        <w:t>Impairment or Disposal of Long-Lived Assets</w:t>
      </w:r>
      <w:r>
        <w:rPr>
          <w:rFonts w:ascii="Times New Roman;Times;Serif" w:hAnsi="Times New Roman;Times;Serif"/>
          <w:b w:val="false"/>
          <w:i w:val="false"/>
          <w:caps w:val="false"/>
          <w:smallCaps w:val="false"/>
          <w:sz w:val="20"/>
        </w:rPr>
        <w:t>. ASC 360-10-15 requires us to group assets and liabilities at the lowest level for which identifiable cash flows are largely independent of the cash flows of other assets and liabilities and evaluate the asset group against the sum of the undiscounted future cash flows. If the undiscounted cash flows do not indicate the carrying amount of the asset is recoverable, an impairment charge is measured as the amount by which the carrying amount of the asset group exceeds its fair value based on discounted cash flow analysis or appraisals. Based upon our analysis, there were no impairment charges recognized in either period presented.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75" w:name="xdx_864_zANKNOXGENO8"/>
      <w:bookmarkStart w:id="276" w:name="xdx_84B_eus-gaap--RevenueFromContractWit"/>
      <w:bookmarkEnd w:id="275"/>
      <w:bookmarkEnd w:id="276"/>
      <w:r>
        <w:rPr>
          <w:rFonts w:ascii="Times New Roman;Times;Serif" w:hAnsi="Times New Roman;Times;Serif"/>
          <w:b/>
          <w:i w:val="false"/>
          <w:caps w:val="false"/>
          <w:smallCaps w:val="false"/>
          <w:sz w:val="20"/>
        </w:rPr>
        <w:t>Deferred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records a contract liability for development projects due to the contractual billing of these projects not always aligning with revenue recognition. It the Company’s policy to frequently require deposits relating to the production of our consumer products. Of the total $</w:t>
      </w:r>
      <w:bookmarkStart w:id="277" w:name="xdx_900_eus-gaap--DeferredIncome_iI_pn3n"/>
      <w:bookmarkEnd w:id="277"/>
      <w:r>
        <w:rPr>
          <w:rFonts w:ascii="Times New Roman;Times;Serif" w:hAnsi="Times New Roman;Times;Serif"/>
          <w:b w:val="false"/>
          <w:i w:val="false"/>
          <w:caps w:val="false"/>
          <w:smallCaps w:val="false"/>
          <w:sz w:val="20"/>
        </w:rPr>
        <w:t>930 and $</w:t>
      </w:r>
      <w:bookmarkStart w:id="278" w:name="xdx_90F_eus-gaap--DeferredIncome_iI_pn3n"/>
      <w:bookmarkEnd w:id="278"/>
      <w:r>
        <w:rPr>
          <w:rFonts w:ascii="Times New Roman;Times;Serif" w:hAnsi="Times New Roman;Times;Serif"/>
          <w:b w:val="false"/>
          <w:i w:val="false"/>
          <w:caps w:val="false"/>
          <w:smallCaps w:val="false"/>
          <w:sz w:val="20"/>
        </w:rPr>
        <w:t>5,571 in deferred revenue reported in 2025 and 2024 respectively, all related to prepayments received from certain customers per Company policy.</w:t>
      </w:r>
    </w:p>
    <w:p>
      <w:pPr>
        <w:pStyle w:val="TextBody"/>
        <w:bidi w:val="0"/>
        <w:spacing w:before="0" w:after="0"/>
        <w:ind w:left="0" w:right="0" w:firstLine="720"/>
        <w:jc w:val="both"/>
        <w:rPr>
          <w:caps w:val="false"/>
          <w:smallCaps w:val="false"/>
        </w:rPr>
      </w:pPr>
      <w:bookmarkStart w:id="279" w:name="xdx_850_zLjGLU5kW4cg"/>
      <w:bookmarkEnd w:id="279"/>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F-9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80" w:name="xdx_862_z6sr3jq0IUqa"/>
      <w:bookmarkStart w:id="281" w:name="xdx_84B_eus-gaap--FairValueOfFinancialIn"/>
      <w:bookmarkEnd w:id="280"/>
      <w:bookmarkEnd w:id="281"/>
      <w:r>
        <w:rPr>
          <w:rFonts w:ascii="Times New Roman;Times;Serif" w:hAnsi="Times New Roman;Times;Serif"/>
          <w:b/>
          <w:i w:val="false"/>
          <w:caps w:val="false"/>
          <w:smallCaps w:val="false"/>
          <w:sz w:val="20"/>
        </w:rPr>
        <w:t>Financial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follow ASC Topic 820, </w:t>
      </w:r>
      <w:r>
        <w:rPr>
          <w:rFonts w:ascii="Times New Roman;Times;Serif" w:hAnsi="Times New Roman;Times;Serif"/>
          <w:b w:val="false"/>
          <w:i/>
          <w:caps w:val="false"/>
          <w:smallCaps w:val="false"/>
          <w:sz w:val="20"/>
        </w:rPr>
        <w:t>Fair Value Measurements and Disclosures</w:t>
      </w:r>
      <w:r>
        <w:rPr>
          <w:rFonts w:ascii="Times New Roman;Times;Serif" w:hAnsi="Times New Roman;Times;Serif"/>
          <w:b w:val="false"/>
          <w:i w:val="false"/>
          <w:caps w:val="false"/>
          <w:smallCaps w:val="false"/>
          <w:sz w:val="20"/>
        </w:rPr>
        <w:t>, which defines fair value, establishes a framework for measuring fair value, and expands disclosures about fair value measurements. The fair value framework requires the categorization of assets and liabilities into three levels based upon the assumptions (inputs) used to price the assets or liabilities. Level 1 provides the most reliable measure of fair value, whereas Level 3 generally requires significant management judgment.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financial instruments include cash, accounts receivable, accounts payable and accrued expenses, along with any short-term and long-term borrowings as described in Note 3. The carrying values of cash and cash equivalents, accounts receivable, and accounts payable and accrued expenses are reasonable estimates of their fair value due to the short-term nature. The fair value of short-term and long-term debt approximates carrying value based on comparison of terms to similar debt offering in the marketplace.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financial instruments adjusted to fair value on December 31, 2025 and 2024.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82" w:name="xdx_86F_zSaQNVWlY1Zb"/>
      <w:bookmarkStart w:id="283" w:name="xdx_84E_eus-gaap--RevenueRecognitionPoli"/>
      <w:bookmarkEnd w:id="282"/>
      <w:bookmarkEnd w:id="283"/>
      <w:r>
        <w:rPr>
          <w:rFonts w:ascii="Times New Roman;Times;Serif" w:hAnsi="Times New Roman;Times;Serif"/>
          <w:b/>
          <w:i w:val="false"/>
          <w:caps w:val="false"/>
          <w:smallCaps w:val="false"/>
          <w:sz w:val="20"/>
        </w:rPr>
        <w:t>Product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 are recognized when control of the promised goods is transferred to customers, in an amount that reflects the consideration we expect to receive in exchange for those goods. When our ingredients and finished products are shipped, with control being transferred at the shipping point, is the point in time at which we recognize the related revenue.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generally expense sales commissions when incurred because the amortization period would have been one year or less. These costs are recorded within selling, general and administrative expenses. Customers’ deposits, deferred revenue and other receipts are deferred and recognized when the revenue is realized and earned. Cash payments to customers are classified as reductions of revenue in our statements of operations. For select customers the Company may pay volume rebates which are variable in nature due the amount the select customer will take. In 2025 one customer earned a volume rebate of $</w:t>
      </w:r>
      <w:bookmarkStart w:id="284" w:name="xdx_904_ecustom--VolumeRebates_pp0p0_c20"/>
      <w:bookmarkEnd w:id="284"/>
      <w:r>
        <w:rPr>
          <w:rFonts w:ascii="Times New Roman;Times;Serif" w:hAnsi="Times New Roman;Times;Serif"/>
          <w:b w:val="false"/>
          <w:i w:val="false"/>
          <w:caps w:val="false"/>
          <w:smallCaps w:val="false"/>
          <w:sz w:val="20"/>
        </w:rPr>
        <w:t>95,000. In 2024 one customer earned a volume rebate of $</w:t>
      </w:r>
      <w:bookmarkStart w:id="285" w:name="xdx_908_ecustom--VolumeRebates_pp0p0_c20"/>
      <w:bookmarkEnd w:id="285"/>
      <w:r>
        <w:rPr>
          <w:rFonts w:ascii="Times New Roman;Times;Serif" w:hAnsi="Times New Roman;Times;Serif"/>
          <w:b w:val="false"/>
          <w:i w:val="false"/>
          <w:caps w:val="false"/>
          <w:smallCaps w:val="false"/>
          <w:sz w:val="20"/>
        </w:rPr>
        <w:t>35,000.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the sales process, it is common for the Company to receive customer deposits. These deposits are typically held for less than a year and do not result in a financing component to the sales. The customer deposits are recognized as revenue when the Company ships the finished goods to the customer.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for some customers arrange for the shipping of the finished goods. Revenues and costs associated with the shipment of the finished goods are recorded separately within product revenue and cost of revenue, respectively, on the consolidation statement of operations. With regard to revenue recognition, shipping activities that occur prior to the customers’ obtaining control of the goods are not a promised service to the customer, but rather activities to fulfill the Company’s promise to transfer the goods. As such, these activities are not deemed a performance obligation requiring allocation of the transaction price. Similarly, shipping activities that occur after the customers’ obtaining control of the goods are, as a matter of policy, also not a promised service to the customer, but rather an activity to fulfill the Company’s promise to transfer the good.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bookmarkStart w:id="286" w:name="xdx_8BF_z31Z82rs7Cr5"/>
      <w:bookmarkStart w:id="287" w:name="xdx_897_eus-gaap--ContractWithCustomerAs"/>
      <w:bookmarkEnd w:id="286"/>
      <w:bookmarkEnd w:id="287"/>
      <w:r>
        <w:rPr>
          <w:rFonts w:ascii="Times New Roman;Times;Serif" w:hAnsi="Times New Roman;Times;Serif"/>
          <w:b w:val="false"/>
          <w:i w:val="false"/>
          <w:caps w:val="false"/>
          <w:smallCaps w:val="false"/>
          <w:sz w:val="20"/>
        </w:rPr>
        <w:t>Contract balances for the years ended December 31, 2025, 2024, and 2023 are as follows:</w:t>
      </w:r>
    </w:p>
    <w:p>
      <w:pPr>
        <w:pStyle w:val="TextBody"/>
        <w:bidi w:val="0"/>
        <w:spacing w:before="0" w:after="0"/>
        <w:ind w:left="0" w:right="0" w:firstLine="720"/>
        <w:jc w:val="both"/>
        <w:rPr>
          <w:caps w:val="false"/>
          <w:smallCaps w:val="false"/>
        </w:rPr>
      </w:pPr>
      <w:r>
        <w:rPr>
          <w:caps w:val="false"/>
          <w:smallCaps w:val="false"/>
        </w:rPr>
        <w:t> </w:t>
      </w:r>
    </w:p>
    <w:tbl>
      <w:tblPr>
        <w:tblW w:w="4093" w:type="dxa"/>
        <w:jc w:val="left"/>
        <w:tblInd w:w="0" w:type="dxa"/>
        <w:tblLayout w:type="fixed"/>
        <w:tblCellMar>
          <w:top w:w="0" w:type="dxa"/>
          <w:left w:w="0" w:type="dxa"/>
          <w:bottom w:w="0" w:type="dxa"/>
          <w:right w:w="0" w:type="dxa"/>
        </w:tblCellMar>
      </w:tblPr>
      <w:tblGrid>
        <w:gridCol w:w="455"/>
        <w:gridCol w:w="359"/>
        <w:gridCol w:w="1400"/>
        <w:gridCol w:w="60"/>
        <w:gridCol w:w="60"/>
        <w:gridCol w:w="183"/>
        <w:gridCol w:w="1501"/>
        <w:gridCol w:w="75"/>
      </w:tblGrid>
      <w:tr>
        <w:trPr/>
        <w:tc>
          <w:tcPr>
            <w:tcW w:w="455" w:type="dxa"/>
            <w:tcBorders/>
            <w:vAlign w:val="center"/>
          </w:tcPr>
          <w:p>
            <w:pPr>
              <w:pStyle w:val="TableContents"/>
              <w:bidi w:val="0"/>
              <w:spacing w:before="0" w:after="283"/>
              <w:jc w:val="left"/>
              <w:rPr/>
            </w:pPr>
            <w:r>
              <w:rPr/>
              <w:t> </w:t>
            </w:r>
          </w:p>
        </w:tc>
        <w:tc>
          <w:tcPr>
            <w:tcW w:w="1759"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Accounts Receivable</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684"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Contract Liabilities</w:t>
            </w:r>
          </w:p>
        </w:tc>
        <w:tc>
          <w:tcPr>
            <w:tcW w:w="75" w:type="dxa"/>
            <w:tcBorders/>
            <w:vAlign w:val="center"/>
          </w:tcPr>
          <w:p>
            <w:pPr>
              <w:pStyle w:val="TableContents"/>
              <w:bidi w:val="0"/>
              <w:spacing w:before="0" w:after="283"/>
              <w:jc w:val="left"/>
              <w:rPr/>
            </w:pPr>
            <w:r>
              <w:rPr/>
              <w:t> </w:t>
            </w:r>
          </w:p>
        </w:tc>
      </w:tr>
      <w:tr>
        <w:trPr/>
        <w:tc>
          <w:tcPr>
            <w:tcW w:w="455" w:type="dxa"/>
            <w:tcBorders/>
            <w:shd w:fill="CCEEFF" w:val="clear"/>
            <w:vAlign w:val="center"/>
          </w:tcPr>
          <w:p>
            <w:pPr>
              <w:pStyle w:val="TableContents"/>
              <w:bidi w:val="0"/>
              <w:spacing w:before="0" w:after="283"/>
              <w:jc w:val="left"/>
              <w:rPr>
                <w:sz w:val="20"/>
              </w:rPr>
            </w:pPr>
            <w:r>
              <w:rPr>
                <w:sz w:val="20"/>
              </w:rPr>
              <w:t>2023</w:t>
            </w:r>
          </w:p>
        </w:tc>
        <w:tc>
          <w:tcPr>
            <w:tcW w:w="359" w:type="dxa"/>
            <w:tcBorders/>
            <w:shd w:fill="CCEEFF" w:val="clear"/>
            <w:vAlign w:val="center"/>
          </w:tcPr>
          <w:p>
            <w:pPr>
              <w:pStyle w:val="TableContents"/>
              <w:bidi w:val="0"/>
              <w:spacing w:before="0" w:after="283"/>
              <w:jc w:val="left"/>
              <w:rPr>
                <w:sz w:val="20"/>
              </w:rPr>
            </w:pPr>
            <w:r>
              <w:rPr>
                <w:sz w:val="20"/>
              </w:rPr>
              <w:t>$</w:t>
            </w:r>
            <w:bookmarkStart w:id="288" w:name="xdx_98E_eus-gaap--ContractWithCustomerAs"/>
            <w:bookmarkEnd w:id="288"/>
          </w:p>
        </w:tc>
        <w:tc>
          <w:tcPr>
            <w:tcW w:w="1400" w:type="dxa"/>
            <w:tcBorders/>
            <w:shd w:fill="CCEEFF" w:val="clear"/>
            <w:vAlign w:val="center"/>
          </w:tcPr>
          <w:p>
            <w:pPr>
              <w:pStyle w:val="TableContents"/>
              <w:bidi w:val="0"/>
              <w:spacing w:before="0" w:after="283"/>
              <w:jc w:val="right"/>
              <w:rPr>
                <w:sz w:val="20"/>
              </w:rPr>
            </w:pPr>
            <w:r>
              <w:rPr>
                <w:sz w:val="20"/>
              </w:rPr>
              <w:t>3,692</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bookmarkStart w:id="289" w:name="xdx_988_eus-gaap--ContractWithCustomerLi"/>
            <w:bookmarkEnd w:id="289"/>
          </w:p>
        </w:tc>
        <w:tc>
          <w:tcPr>
            <w:tcW w:w="1501" w:type="dxa"/>
            <w:tcBorders/>
            <w:shd w:fill="CCEEFF" w:val="clear"/>
            <w:vAlign w:val="center"/>
          </w:tcPr>
          <w:p>
            <w:pPr>
              <w:pStyle w:val="TableContents"/>
              <w:bidi w:val="0"/>
              <w:spacing w:before="0" w:after="283"/>
              <w:jc w:val="right"/>
              <w:rPr>
                <w:sz w:val="20"/>
              </w:rPr>
            </w:pPr>
            <w:r>
              <w:rPr>
                <w:sz w:val="20"/>
              </w:rPr>
              <w:t>2,353</w:t>
            </w:r>
          </w:p>
        </w:tc>
        <w:tc>
          <w:tcPr>
            <w:tcW w:w="75" w:type="dxa"/>
            <w:tcBorders/>
            <w:shd w:fill="CCEEFF" w:val="clear"/>
            <w:vAlign w:val="center"/>
          </w:tcPr>
          <w:p>
            <w:pPr>
              <w:pStyle w:val="TableContents"/>
              <w:bidi w:val="0"/>
              <w:spacing w:before="0" w:after="283"/>
              <w:jc w:val="left"/>
              <w:rPr/>
            </w:pPr>
            <w:r>
              <w:rPr/>
              <w:t> </w:t>
            </w:r>
          </w:p>
        </w:tc>
      </w:tr>
      <w:tr>
        <w:trPr/>
        <w:tc>
          <w:tcPr>
            <w:tcW w:w="455" w:type="dxa"/>
            <w:tcBorders/>
            <w:shd w:fill="FFFFFF" w:val="clear"/>
            <w:vAlign w:val="center"/>
          </w:tcPr>
          <w:p>
            <w:pPr>
              <w:pStyle w:val="TableContents"/>
              <w:bidi w:val="0"/>
              <w:spacing w:before="0" w:after="283"/>
              <w:jc w:val="left"/>
              <w:rPr>
                <w:sz w:val="20"/>
              </w:rPr>
            </w:pPr>
            <w:r>
              <w:rPr>
                <w:sz w:val="20"/>
              </w:rPr>
              <w:t>2024</w:t>
            </w:r>
          </w:p>
        </w:tc>
        <w:tc>
          <w:tcPr>
            <w:tcW w:w="359" w:type="dxa"/>
            <w:tcBorders/>
            <w:shd w:fill="FFFFFF" w:val="clear"/>
            <w:vAlign w:val="center"/>
          </w:tcPr>
          <w:p>
            <w:pPr>
              <w:pStyle w:val="TableContents"/>
              <w:bidi w:val="0"/>
              <w:spacing w:before="0" w:after="283"/>
              <w:jc w:val="left"/>
              <w:rPr/>
            </w:pPr>
            <w:r>
              <w:rPr/>
              <w:t> </w:t>
            </w:r>
            <w:bookmarkStart w:id="290" w:name="xdx_98E_eus-gaap--ContractWithCustomerAs"/>
            <w:bookmarkEnd w:id="290"/>
          </w:p>
        </w:tc>
        <w:tc>
          <w:tcPr>
            <w:tcW w:w="1400" w:type="dxa"/>
            <w:tcBorders/>
            <w:shd w:fill="FFFFFF" w:val="clear"/>
            <w:vAlign w:val="center"/>
          </w:tcPr>
          <w:p>
            <w:pPr>
              <w:pStyle w:val="TableContents"/>
              <w:bidi w:val="0"/>
              <w:spacing w:before="0" w:after="283"/>
              <w:jc w:val="right"/>
              <w:rPr>
                <w:sz w:val="20"/>
              </w:rPr>
            </w:pPr>
            <w:r>
              <w:rPr>
                <w:sz w:val="20"/>
              </w:rPr>
              <w:t>5,655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bookmarkStart w:id="291" w:name="xdx_981_eus-gaap--ContractWithCustomerLi"/>
            <w:bookmarkEnd w:id="291"/>
          </w:p>
        </w:tc>
        <w:tc>
          <w:tcPr>
            <w:tcW w:w="1501" w:type="dxa"/>
            <w:tcBorders/>
            <w:shd w:fill="FFFFFF" w:val="clear"/>
            <w:vAlign w:val="center"/>
          </w:tcPr>
          <w:p>
            <w:pPr>
              <w:pStyle w:val="TableContents"/>
              <w:bidi w:val="0"/>
              <w:spacing w:before="0" w:after="283"/>
              <w:jc w:val="right"/>
              <w:rPr>
                <w:sz w:val="20"/>
              </w:rPr>
            </w:pPr>
            <w:r>
              <w:rPr>
                <w:sz w:val="20"/>
              </w:rPr>
              <w:t>5,571</w:t>
            </w:r>
          </w:p>
        </w:tc>
        <w:tc>
          <w:tcPr>
            <w:tcW w:w="75" w:type="dxa"/>
            <w:tcBorders/>
            <w:shd w:fill="FFFFFF" w:val="clear"/>
            <w:vAlign w:val="center"/>
          </w:tcPr>
          <w:p>
            <w:pPr>
              <w:pStyle w:val="TableContents"/>
              <w:bidi w:val="0"/>
              <w:spacing w:before="0" w:after="283"/>
              <w:jc w:val="left"/>
              <w:rPr/>
            </w:pPr>
            <w:r>
              <w:rPr/>
              <w:t> </w:t>
            </w:r>
          </w:p>
        </w:tc>
      </w:tr>
      <w:tr>
        <w:trPr/>
        <w:tc>
          <w:tcPr>
            <w:tcW w:w="455" w:type="dxa"/>
            <w:tcBorders/>
            <w:shd w:fill="CCEEFF" w:val="clear"/>
            <w:vAlign w:val="center"/>
          </w:tcPr>
          <w:p>
            <w:pPr>
              <w:pStyle w:val="TableContents"/>
              <w:bidi w:val="0"/>
              <w:spacing w:before="0" w:after="283"/>
              <w:jc w:val="left"/>
              <w:rPr>
                <w:sz w:val="20"/>
              </w:rPr>
            </w:pPr>
            <w:r>
              <w:rPr>
                <w:sz w:val="20"/>
              </w:rPr>
              <w:t>2025</w:t>
            </w:r>
          </w:p>
        </w:tc>
        <w:tc>
          <w:tcPr>
            <w:tcW w:w="359" w:type="dxa"/>
            <w:tcBorders/>
            <w:shd w:fill="CCEEFF" w:val="clear"/>
            <w:vAlign w:val="center"/>
          </w:tcPr>
          <w:p>
            <w:pPr>
              <w:pStyle w:val="TableContents"/>
              <w:bidi w:val="0"/>
              <w:spacing w:before="0" w:after="283"/>
              <w:jc w:val="left"/>
              <w:rPr/>
            </w:pPr>
            <w:r>
              <w:rPr/>
              <w:t> </w:t>
            </w:r>
            <w:bookmarkStart w:id="292" w:name="xdx_988_eus-gaap--ContractWithCustomerAs"/>
            <w:bookmarkEnd w:id="292"/>
          </w:p>
        </w:tc>
        <w:tc>
          <w:tcPr>
            <w:tcW w:w="1400" w:type="dxa"/>
            <w:tcBorders/>
            <w:shd w:fill="CCEEFF" w:val="clear"/>
            <w:vAlign w:val="center"/>
          </w:tcPr>
          <w:p>
            <w:pPr>
              <w:pStyle w:val="TableContents"/>
              <w:bidi w:val="0"/>
              <w:spacing w:before="0" w:after="283"/>
              <w:jc w:val="right"/>
              <w:rPr>
                <w:sz w:val="20"/>
              </w:rPr>
            </w:pPr>
            <w:r>
              <w:rPr>
                <w:sz w:val="20"/>
              </w:rPr>
              <w:t>7,642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bookmarkStart w:id="293" w:name="xdx_985_eus-gaap--ContractWithCustomerLi"/>
            <w:bookmarkEnd w:id="293"/>
          </w:p>
        </w:tc>
        <w:tc>
          <w:tcPr>
            <w:tcW w:w="1501" w:type="dxa"/>
            <w:tcBorders/>
            <w:shd w:fill="CCEEFF" w:val="clear"/>
            <w:vAlign w:val="center"/>
          </w:tcPr>
          <w:p>
            <w:pPr>
              <w:pStyle w:val="TableContents"/>
              <w:bidi w:val="0"/>
              <w:spacing w:before="0" w:after="283"/>
              <w:jc w:val="right"/>
              <w:rPr>
                <w:sz w:val="20"/>
              </w:rPr>
            </w:pPr>
            <w:r>
              <w:rPr>
                <w:sz w:val="20"/>
              </w:rPr>
              <w:t>930</w:t>
            </w:r>
          </w:p>
        </w:tc>
        <w:tc>
          <w:tcPr>
            <w:tcW w:w="75" w:type="dxa"/>
            <w:tcBorders/>
            <w:shd w:fill="CCEEFF" w:val="clear"/>
            <w:vAlign w:val="center"/>
          </w:tcPr>
          <w:p>
            <w:pPr>
              <w:pStyle w:val="TableContents"/>
              <w:bidi w:val="0"/>
              <w:spacing w:before="0" w:after="283"/>
              <w:jc w:val="left"/>
              <w:rPr/>
            </w:pPr>
            <w:r>
              <w:rPr/>
              <w:t> </w:t>
            </w:r>
          </w:p>
        </w:tc>
      </w:tr>
      <w:tr>
        <w:trPr/>
        <w:tc>
          <w:tcPr>
            <w:tcW w:w="455" w:type="dxa"/>
            <w:tcBorders/>
            <w:shd w:fill="FFFFFF" w:val="clear"/>
            <w:vAlign w:val="center"/>
          </w:tcPr>
          <w:p>
            <w:pPr>
              <w:pStyle w:val="TableContents"/>
              <w:bidi w:val="0"/>
              <w:spacing w:before="0" w:after="283"/>
              <w:jc w:val="left"/>
              <w:rPr/>
            </w:pPr>
            <w:r>
              <w:rPr/>
              <w:t> </w:t>
            </w:r>
          </w:p>
        </w:tc>
        <w:tc>
          <w:tcPr>
            <w:tcW w:w="359"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501"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recognized in the reporting period that was included in the contract liability balance at the beginning of the period was $</w:t>
      </w:r>
      <w:bookmarkStart w:id="294" w:name="xdx_903_eus-gaap--ContractWithCustomerLi"/>
      <w:bookmarkEnd w:id="294"/>
      <w:r>
        <w:rPr>
          <w:rFonts w:ascii="Times New Roman;Times;Serif" w:hAnsi="Times New Roman;Times;Serif"/>
          <w:b w:val="false"/>
          <w:i w:val="false"/>
          <w:caps w:val="false"/>
          <w:smallCaps w:val="false"/>
          <w:sz w:val="20"/>
        </w:rPr>
        <w:t>5,059 and $</w:t>
      </w:r>
      <w:bookmarkStart w:id="295" w:name="xdx_90D_eus-gaap--ContractWithCustomerLi"/>
      <w:bookmarkEnd w:id="295"/>
      <w:r>
        <w:rPr>
          <w:rFonts w:ascii="Times New Roman;Times;Serif" w:hAnsi="Times New Roman;Times;Serif"/>
          <w:b w:val="false"/>
          <w:i w:val="false"/>
          <w:caps w:val="false"/>
          <w:smallCaps w:val="false"/>
          <w:sz w:val="20"/>
        </w:rPr>
        <w:t>2,074 for the years ended December 31, 2025, and 2024,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 w:after="20"/>
        <w:jc w:val="left"/>
        <w:rPr>
          <w:bdr w:val="single" w:sz="6" w:space="1" w:color="000000"/>
        </w:rPr>
      </w:pPr>
      <w:r>
        <w:rPr>
          <w:bdr w:val="single" w:sz="6"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96" w:name="xdx_861_z4hIJbJ3x2D9"/>
      <w:bookmarkStart w:id="297" w:name="xdx_848_ecustom--OtherRevenuePolicyTextB"/>
      <w:bookmarkEnd w:id="296"/>
      <w:bookmarkEnd w:id="297"/>
      <w:r>
        <w:rPr>
          <w:rFonts w:ascii="Times New Roman;Times;Serif" w:hAnsi="Times New Roman;Times;Serif"/>
          <w:b/>
          <w:i w:val="false"/>
          <w:caps w:val="false"/>
          <w:smallCaps w:val="false"/>
          <w:sz w:val="20"/>
        </w:rPr>
        <w:t>Other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revenue may include revenue from technology license fees and paid development projects. Technology license fees and paid development projects are recognized over time when the obligations under the agreed upon contractual arrangements are performed on our part. Revenue recognized over time was $</w:t>
      </w:r>
      <w:bookmarkStart w:id="298" w:name="xdx_90F_eus-gaap--RevenueFromContractWit"/>
      <w:bookmarkEnd w:id="298"/>
      <w:r>
        <w:rPr>
          <w:rFonts w:ascii="Times New Roman;Times;Serif" w:hAnsi="Times New Roman;Times;Serif"/>
          <w:b w:val="false"/>
          <w:i w:val="false"/>
          <w:caps w:val="false"/>
          <w:smallCaps w:val="false"/>
          <w:sz w:val="20"/>
        </w:rPr>
        <w:t>270 and $</w:t>
      </w:r>
      <w:bookmarkStart w:id="299" w:name="xdx_905_eus-gaap--RevenueFromContractWit"/>
      <w:bookmarkEnd w:id="299"/>
      <w:r>
        <w:rPr>
          <w:rFonts w:ascii="Times New Roman;Times;Serif" w:hAnsi="Times New Roman;Times;Serif"/>
          <w:b w:val="false"/>
          <w:i w:val="false"/>
          <w:caps w:val="false"/>
          <w:smallCaps w:val="false"/>
          <w:sz w:val="20"/>
        </w:rPr>
        <w:t>457 for the years ended December 31, 2025 and 2024, respectively.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00" w:name="xdx_865_zwp0lNYr7o8e"/>
      <w:bookmarkStart w:id="301" w:name="xdx_846_eus-gaap--ResearchAndDevelopment"/>
      <w:bookmarkEnd w:id="300"/>
      <w:bookmarkEnd w:id="301"/>
      <w:r>
        <w:rPr>
          <w:rFonts w:ascii="Times New Roman;Times;Serif" w:hAnsi="Times New Roman;Times;Serif"/>
          <w:b/>
          <w:i w:val="false"/>
          <w:caps w:val="false"/>
          <w:smallCaps w:val="false"/>
          <w:sz w:val="20"/>
        </w:rPr>
        <w:t>Research and Development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are recognized as expense when incurred.</w:t>
      </w:r>
    </w:p>
    <w:p>
      <w:pPr>
        <w:pStyle w:val="TextBody"/>
        <w:bidi w:val="0"/>
        <w:spacing w:before="0" w:after="0"/>
        <w:ind w:left="0" w:right="0" w:firstLine="720"/>
        <w:jc w:val="both"/>
        <w:rPr>
          <w:caps w:val="false"/>
          <w:smallCaps w:val="false"/>
        </w:rPr>
      </w:pPr>
      <w:bookmarkStart w:id="302" w:name="xdx_85F_zcgy3iAgVecf"/>
      <w:bookmarkEnd w:id="302"/>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F-10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03" w:name="xdx_86D_zXNXX10qCfX"/>
      <w:bookmarkStart w:id="304" w:name="xdx_846_eus-gaap--IncomeTaxPolicyTextBlo"/>
      <w:bookmarkEnd w:id="303"/>
      <w:bookmarkEnd w:id="304"/>
      <w:r>
        <w:rPr>
          <w:rFonts w:ascii="Times New Roman;Times;Serif" w:hAnsi="Times New Roman;Times;Serif"/>
          <w:b/>
          <w:i w:val="false"/>
          <w:caps w:val="false"/>
          <w:smallCaps w:val="false"/>
          <w:sz w:val="20"/>
        </w:rPr>
        <w:t>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account for income taxes using the asset-and-liability approach. As such, deferred income taxes reflect the net tax effects of temporary differences between the carrying amounts of assets and liabilities for financial reporting purposes and the amounts used for income tax purposes. Deferred tax assets and liabilities are calculated using the enacted tax rates and laws that are expected to be in effect when the anticipated reversal of these differences is scheduled to occur. Deferred tax assets are reduced by a valuation allowance when, in the opinion of management, it is more likely than not that some or all of the deferred tax assets will not be realized.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tax returns are filed, it is highly certain that some positions taken would be sustained upon examination by the taxing authorities, while others are subject to uncertainty about merits of the position taken or the amount of the position that would be ultimately sustained. The benefit of a tax position is recognized in the financial statements in the period during which, based on all available evidence, management believes it is more likely than not that the position will be sustained upon examination, including the resolution of appeals or litigation processes, if any. Tax positions taken are not offset or aggregated with other positions. Tax positions that meet the more-likely-than-not recognition threshold are measured as the largest amount of tax benefit that is more than 50 percent likely of being realized upon settlement with the applicable taxing authority. The portion of the benefits associated with tax positions taken that exceeds the amount measured, as described above, is reflected as a liability for uncertain tax benefits in the accompanying balance sheets along with any associated interest and penalties that would be payable to the taxing authorities upon examination.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recorded a reserve for any tax positions for which the ultimate deductibility is highly certain but for which there is uncertainty about the timing of such deductibility. We file tax returns in all appropriate jurisdictions, which includes a federal tax return and Illinois state tax return. When and if applicable, potential interest and penalty costs are accrued as incurred, with expenses recognized in selling, general and administrative expenses in the statements of operations. As of December 31, 2025, and 2024, we had no liability for unrecognized tax benefits.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05" w:name="xdx_86F_zkdb5Dl5E065"/>
      <w:bookmarkStart w:id="306" w:name="xdx_840_eus-gaap--EarningsPerSharePolicy"/>
      <w:bookmarkEnd w:id="305"/>
      <w:bookmarkEnd w:id="306"/>
      <w:r>
        <w:rPr>
          <w:rFonts w:ascii="Times New Roman;Times;Serif" w:hAnsi="Times New Roman;Times;Serif"/>
          <w:b/>
          <w:i w:val="false"/>
          <w:caps w:val="false"/>
          <w:smallCaps w:val="false"/>
          <w:sz w:val="20"/>
        </w:rPr>
        <w:t>Earnings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Included in the computation of diluted earnings per share for the year ended December 31, 2025, was a total of </w:t>
      </w:r>
      <w:bookmarkStart w:id="307" w:name="xdx_90C_eus-gaap--WeightedAverageNumberD"/>
      <w:bookmarkEnd w:id="307"/>
      <w:r>
        <w:rPr>
          <w:rFonts w:ascii="Times New Roman;Times;Serif" w:hAnsi="Times New Roman;Times;Serif"/>
          <w:b w:val="false"/>
          <w:i w:val="false"/>
          <w:caps w:val="false"/>
          <w:smallCaps w:val="false"/>
          <w:sz w:val="20"/>
        </w:rPr>
        <w:t xml:space="preserve">2,235,563 in potential shares of common stock. Included in the computation of diluted earnings per share for the year ended December 31, 2024, was a total of </w:t>
      </w:r>
      <w:bookmarkStart w:id="308" w:name="xdx_904_eus-gaap--WeightedAverageNumberD"/>
      <w:bookmarkEnd w:id="308"/>
      <w:r>
        <w:rPr>
          <w:rFonts w:ascii="Times New Roman;Times;Serif" w:hAnsi="Times New Roman;Times;Serif"/>
          <w:b w:val="false"/>
          <w:i w:val="false"/>
          <w:caps w:val="false"/>
          <w:smallCaps w:val="false"/>
          <w:sz w:val="20"/>
        </w:rPr>
        <w:t>2,678,356 in potential shares of common stock.</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bookmarkStart w:id="309" w:name="xdx_8BE_zg61SqXOmq86"/>
      <w:bookmarkStart w:id="310" w:name="xdx_890_eus-gaap--ScheduleOfEarningsPerS"/>
      <w:bookmarkEnd w:id="309"/>
      <w:bookmarkEnd w:id="310"/>
      <w:r>
        <w:rPr>
          <w:rFonts w:ascii="Times New Roman;Times;Serif" w:hAnsi="Times New Roman;Times;Serif"/>
          <w:b w:val="false"/>
          <w:i w:val="false"/>
          <w:caps w:val="false"/>
          <w:smallCaps w:val="false"/>
          <w:sz w:val="20"/>
        </w:rPr>
        <w:t>Earnings applicable to common stock and common stock shares used in the calculation of basic and diluted earnings per share are as follows:</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777"/>
        <w:gridCol w:w="60"/>
        <w:gridCol w:w="125"/>
        <w:gridCol w:w="960"/>
        <w:gridCol w:w="60"/>
        <w:gridCol w:w="60"/>
        <w:gridCol w:w="125"/>
        <w:gridCol w:w="960"/>
        <w:gridCol w:w="78"/>
      </w:tblGrid>
      <w:tr>
        <w:trPr/>
        <w:tc>
          <w:tcPr>
            <w:tcW w:w="777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bookmarkStart w:id="311" w:name="xdx_499_20250101__20251231_z1Vj15DIoiIl"/>
            <w:bookmarkEnd w:id="311"/>
          </w:p>
        </w:tc>
        <w:tc>
          <w:tcPr>
            <w:tcW w:w="9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bookmarkStart w:id="312" w:name="xdx_497_20240101__20241231_zprjhGSLNee3"/>
            <w:bookmarkEnd w:id="312"/>
          </w:p>
        </w:tc>
        <w:tc>
          <w:tcPr>
            <w:tcW w:w="9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r>
      <w:tr>
        <w:trPr/>
        <w:tc>
          <w:tcPr>
            <w:tcW w:w="777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90"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Years Ended December 31,</w:t>
            </w:r>
          </w:p>
        </w:tc>
        <w:tc>
          <w:tcPr>
            <w:tcW w:w="78" w:type="dxa"/>
            <w:tcBorders/>
            <w:vAlign w:val="center"/>
          </w:tcPr>
          <w:p>
            <w:pPr>
              <w:pStyle w:val="TableContents"/>
              <w:bidi w:val="0"/>
              <w:spacing w:before="0" w:after="283"/>
              <w:jc w:val="left"/>
              <w:rPr/>
            </w:pPr>
            <w:r>
              <w:rPr/>
              <w:t> </w:t>
            </w:r>
          </w:p>
        </w:tc>
      </w:tr>
      <w:tr>
        <w:trPr/>
        <w:tc>
          <w:tcPr>
            <w:tcW w:w="777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2024</w:t>
            </w:r>
          </w:p>
        </w:tc>
        <w:tc>
          <w:tcPr>
            <w:tcW w:w="78" w:type="dxa"/>
            <w:tcBorders/>
            <w:vAlign w:val="center"/>
          </w:tcPr>
          <w:p>
            <w:pPr>
              <w:pStyle w:val="TableContents"/>
              <w:bidi w:val="0"/>
              <w:spacing w:before="0" w:after="283"/>
              <w:jc w:val="left"/>
              <w:rPr/>
            </w:pPr>
            <w:r>
              <w:rPr/>
              <w:t> </w:t>
            </w:r>
            <w:bookmarkStart w:id="313" w:name="xdx_406_eus-gaap--NetIncomeLossAvailable"/>
            <w:bookmarkEnd w:id="313"/>
          </w:p>
        </w:tc>
      </w:tr>
      <w:tr>
        <w:trPr/>
        <w:tc>
          <w:tcPr>
            <w:tcW w:w="7777" w:type="dxa"/>
            <w:tcBorders/>
            <w:vAlign w:val="center"/>
          </w:tcPr>
          <w:p>
            <w:pPr>
              <w:pStyle w:val="TableContents"/>
              <w:bidi w:val="0"/>
              <w:spacing w:before="0" w:after="283"/>
              <w:jc w:val="left"/>
              <w:rPr>
                <w:sz w:val="20"/>
                <w:u w:val="single"/>
              </w:rPr>
            </w:pPr>
            <w:r>
              <w:rPr>
                <w:sz w:val="20"/>
                <w:u w:val="single"/>
              </w:rPr>
              <w:t>Numerator: (in Thousands)</w:t>
            </w:r>
          </w:p>
        </w:tc>
        <w:tc>
          <w:tcPr>
            <w:tcW w:w="60" w:type="dxa"/>
            <w:tcBorders/>
            <w:vAlign w:val="center"/>
          </w:tcPr>
          <w:p>
            <w:pPr>
              <w:pStyle w:val="TableContents"/>
              <w:bidi w:val="0"/>
              <w:spacing w:before="0" w:after="283"/>
              <w:jc w:val="left"/>
              <w:rPr/>
            </w:pPr>
            <w:r>
              <w:rPr/>
              <w:t> </w:t>
            </w:r>
          </w:p>
        </w:tc>
        <w:tc>
          <w:tcPr>
            <w:tcW w:w="1085"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gridSpan w:val="2"/>
            <w:tcBorders/>
            <w:vAlign w:val="center"/>
          </w:tcPr>
          <w:p>
            <w:pPr>
              <w:pStyle w:val="TableContents"/>
              <w:bidi w:val="0"/>
              <w:spacing w:before="0" w:after="283"/>
              <w:jc w:val="right"/>
              <w:rPr/>
            </w:pPr>
            <w:r>
              <w:rPr/>
              <w:t> </w:t>
            </w:r>
          </w:p>
        </w:tc>
        <w:tc>
          <w:tcPr>
            <w:tcW w:w="78" w:type="dxa"/>
            <w:tcBorders/>
            <w:vAlign w:val="center"/>
          </w:tcPr>
          <w:p>
            <w:pPr>
              <w:pStyle w:val="TableContents"/>
              <w:bidi w:val="0"/>
              <w:spacing w:before="0" w:after="283"/>
              <w:jc w:val="left"/>
              <w:rPr/>
            </w:pPr>
            <w:r>
              <w:rPr/>
              <w:t> </w:t>
            </w:r>
            <w:bookmarkStart w:id="314" w:name="xdx_40A_eus-gaap--NetIncomeLoss_i01_pn3n"/>
            <w:bookmarkEnd w:id="314"/>
          </w:p>
        </w:tc>
      </w:tr>
      <w:tr>
        <w:trPr/>
        <w:tc>
          <w:tcPr>
            <w:tcW w:w="7777" w:type="dxa"/>
            <w:tcBorders/>
            <w:shd w:fill="CCEEFF" w:val="clear"/>
            <w:vAlign w:val="center"/>
          </w:tcPr>
          <w:p>
            <w:pPr>
              <w:pStyle w:val="TableContents"/>
              <w:bidi w:val="0"/>
              <w:spacing w:before="0" w:after="283"/>
              <w:jc w:val="left"/>
              <w:rPr>
                <w:sz w:val="20"/>
              </w:rPr>
            </w:pPr>
            <w:r>
              <w:rPr>
                <w:sz w:val="20"/>
              </w:rPr>
              <w:t>Net income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960"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1,790</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w:t>
            </w:r>
          </w:p>
        </w:tc>
        <w:tc>
          <w:tcPr>
            <w:tcW w:w="960"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4,235</w:t>
            </w:r>
          </w:p>
        </w:tc>
        <w:tc>
          <w:tcPr>
            <w:tcW w:w="78" w:type="dxa"/>
            <w:tcBorders/>
            <w:shd w:fill="CCEEFF" w:val="clear"/>
            <w:vAlign w:val="center"/>
          </w:tcPr>
          <w:p>
            <w:pPr>
              <w:pStyle w:val="TableContents"/>
              <w:bidi w:val="0"/>
              <w:spacing w:before="0" w:after="283"/>
              <w:jc w:val="right"/>
              <w:rPr/>
            </w:pPr>
            <w:r>
              <w:rPr/>
              <w:t> </w:t>
            </w:r>
          </w:p>
        </w:tc>
      </w:tr>
      <w:tr>
        <w:trPr/>
        <w:tc>
          <w:tcPr>
            <w:tcW w:w="777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right"/>
              <w:rPr/>
            </w:pPr>
            <w:r>
              <w:rPr/>
              <w:t> </w:t>
            </w:r>
          </w:p>
        </w:tc>
        <w:tc>
          <w:tcPr>
            <w:tcW w:w="960" w:type="dxa"/>
            <w:tcBorders/>
            <w:vAlign w:val="center"/>
          </w:tcPr>
          <w:p>
            <w:pPr>
              <w:pStyle w:val="TableContents"/>
              <w:bidi w:val="0"/>
              <w:spacing w:before="0" w:after="283"/>
              <w:jc w:val="right"/>
              <w:rPr/>
            </w:pPr>
            <w:r>
              <w:rPr/>
              <w:t> </w:t>
            </w:r>
          </w:p>
        </w:tc>
        <w:tc>
          <w:tcPr>
            <w:tcW w:w="78" w:type="dxa"/>
            <w:tcBorders/>
            <w:vAlign w:val="center"/>
          </w:tcPr>
          <w:p>
            <w:pPr>
              <w:pStyle w:val="TableContents"/>
              <w:bidi w:val="0"/>
              <w:spacing w:before="0" w:after="283"/>
              <w:jc w:val="right"/>
              <w:rPr/>
            </w:pPr>
            <w:r>
              <w:rPr/>
              <w:t> </w:t>
            </w:r>
            <w:bookmarkStart w:id="315" w:name="xdx_40E_eus-gaap--WeightedAverageNumberO"/>
            <w:bookmarkEnd w:id="315"/>
          </w:p>
        </w:tc>
      </w:tr>
      <w:tr>
        <w:trPr/>
        <w:tc>
          <w:tcPr>
            <w:tcW w:w="7777" w:type="dxa"/>
            <w:tcBorders/>
            <w:shd w:fill="CCEEFF" w:val="clear"/>
            <w:vAlign w:val="center"/>
          </w:tcPr>
          <w:p>
            <w:pPr>
              <w:pStyle w:val="TableContents"/>
              <w:bidi w:val="0"/>
              <w:spacing w:before="0" w:after="283"/>
              <w:jc w:val="left"/>
              <w:rPr>
                <w:sz w:val="20"/>
              </w:rPr>
            </w:pPr>
            <w:r>
              <w:rPr>
                <w:sz w:val="20"/>
                <w:u w:val="single"/>
              </w:rPr>
              <w:t>Denominator</w:t>
            </w: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right"/>
              <w:rPr/>
            </w:pPr>
            <w:r>
              <w:rPr/>
              <w:t> </w:t>
            </w:r>
          </w:p>
        </w:tc>
        <w:tc>
          <w:tcPr>
            <w:tcW w:w="960" w:type="dxa"/>
            <w:tcBorders/>
            <w:shd w:fill="CCEEFF" w:val="clear"/>
            <w:vAlign w:val="center"/>
          </w:tcPr>
          <w:p>
            <w:pPr>
              <w:pStyle w:val="TableContents"/>
              <w:bidi w:val="0"/>
              <w:spacing w:before="0" w:after="283"/>
              <w:jc w:val="right"/>
              <w:rPr/>
            </w:pPr>
            <w:r>
              <w:rPr/>
              <w:t> </w:t>
            </w:r>
          </w:p>
        </w:tc>
        <w:tc>
          <w:tcPr>
            <w:tcW w:w="78" w:type="dxa"/>
            <w:tcBorders/>
            <w:shd w:fill="CCEEFF" w:val="clear"/>
            <w:vAlign w:val="center"/>
          </w:tcPr>
          <w:p>
            <w:pPr>
              <w:pStyle w:val="TableContents"/>
              <w:bidi w:val="0"/>
              <w:spacing w:before="0" w:after="283"/>
              <w:jc w:val="right"/>
              <w:rPr/>
            </w:pPr>
            <w:r>
              <w:rPr/>
              <w:t> </w:t>
            </w:r>
            <w:bookmarkStart w:id="316" w:name="xdx_404_eus-gaap--WeightedAverageNumberO"/>
            <w:bookmarkEnd w:id="316"/>
          </w:p>
        </w:tc>
      </w:tr>
      <w:tr>
        <w:trPr/>
        <w:tc>
          <w:tcPr>
            <w:tcW w:w="7777" w:type="dxa"/>
            <w:tcBorders/>
            <w:vAlign w:val="center"/>
          </w:tcPr>
          <w:p>
            <w:pPr>
              <w:pStyle w:val="TableContents"/>
              <w:bidi w:val="0"/>
              <w:spacing w:before="0" w:after="283"/>
              <w:jc w:val="left"/>
              <w:rPr>
                <w:sz w:val="20"/>
              </w:rPr>
            </w:pPr>
            <w:r>
              <w:rPr>
                <w:sz w:val="20"/>
              </w:rPr>
              <w:t>Weighted average number of basic common shares outstanding</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60" w:type="dxa"/>
            <w:tcBorders/>
            <w:vAlign w:val="center"/>
          </w:tcPr>
          <w:p>
            <w:pPr>
              <w:pStyle w:val="TableContents"/>
              <w:bidi w:val="0"/>
              <w:spacing w:before="0" w:after="283"/>
              <w:jc w:val="right"/>
              <w:rPr>
                <w:sz w:val="20"/>
              </w:rPr>
            </w:pPr>
            <w:r>
              <w:rPr>
                <w:sz w:val="20"/>
              </w:rPr>
              <w:t>70,344,152</w:t>
            </w:r>
          </w:p>
        </w:tc>
        <w:tc>
          <w:tcPr>
            <w:tcW w:w="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right"/>
              <w:rPr/>
            </w:pPr>
            <w:r>
              <w:rPr/>
              <w:t> </w:t>
            </w:r>
          </w:p>
        </w:tc>
        <w:tc>
          <w:tcPr>
            <w:tcW w:w="960" w:type="dxa"/>
            <w:tcBorders/>
            <w:vAlign w:val="center"/>
          </w:tcPr>
          <w:p>
            <w:pPr>
              <w:pStyle w:val="TableContents"/>
              <w:bidi w:val="0"/>
              <w:spacing w:before="0" w:after="283"/>
              <w:jc w:val="right"/>
              <w:rPr>
                <w:sz w:val="20"/>
              </w:rPr>
            </w:pPr>
            <w:r>
              <w:rPr>
                <w:sz w:val="20"/>
              </w:rPr>
              <w:t>62,350,459</w:t>
            </w:r>
          </w:p>
        </w:tc>
        <w:tc>
          <w:tcPr>
            <w:tcW w:w="78" w:type="dxa"/>
            <w:tcBorders/>
            <w:vAlign w:val="center"/>
          </w:tcPr>
          <w:p>
            <w:pPr>
              <w:pStyle w:val="TableContents"/>
              <w:bidi w:val="0"/>
              <w:spacing w:before="0" w:after="283"/>
              <w:jc w:val="right"/>
              <w:rPr/>
            </w:pPr>
            <w:r>
              <w:rPr/>
              <w:t> </w:t>
            </w:r>
            <w:bookmarkStart w:id="317" w:name="xdx_402_eus-gaap--IncrementalCommonShare"/>
            <w:bookmarkEnd w:id="317"/>
          </w:p>
        </w:tc>
      </w:tr>
      <w:tr>
        <w:trPr/>
        <w:tc>
          <w:tcPr>
            <w:tcW w:w="7777" w:type="dxa"/>
            <w:tcBorders/>
            <w:shd w:fill="CCEEFF" w:val="clear"/>
            <w:vAlign w:val="center"/>
          </w:tcPr>
          <w:p>
            <w:pPr>
              <w:pStyle w:val="TableContents"/>
              <w:bidi w:val="0"/>
              <w:spacing w:before="0" w:after="283"/>
              <w:jc w:val="left"/>
              <w:rPr>
                <w:sz w:val="20"/>
              </w:rPr>
            </w:pPr>
            <w:r>
              <w:rPr>
                <w:sz w:val="20"/>
              </w:rPr>
              <w:t>Weighted average additional shares assuming conversion of in-the-money stock options to common shares</w:t>
            </w:r>
          </w:p>
        </w:tc>
        <w:tc>
          <w:tcPr>
            <w:tcW w:w="60" w:type="dxa"/>
            <w:tcBorders/>
            <w:shd w:fill="CCEEFF" w:val="clear"/>
            <w:vAlign w:val="center"/>
          </w:tcPr>
          <w:p>
            <w:pPr>
              <w:pStyle w:val="TableContents"/>
              <w:bidi w:val="0"/>
              <w:spacing w:before="0" w:after="283"/>
              <w:jc w:val="righ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6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2,235,563</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6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2,678,356</w:t>
            </w:r>
          </w:p>
        </w:tc>
        <w:tc>
          <w:tcPr>
            <w:tcW w:w="78" w:type="dxa"/>
            <w:tcBorders/>
            <w:shd w:fill="CCEEFF" w:val="clear"/>
            <w:vAlign w:val="center"/>
          </w:tcPr>
          <w:p>
            <w:pPr>
              <w:pStyle w:val="TableContents"/>
              <w:bidi w:val="0"/>
              <w:spacing w:before="0" w:after="283"/>
              <w:jc w:val="right"/>
              <w:rPr/>
            </w:pPr>
            <w:r>
              <w:rPr/>
              <w:t> </w:t>
            </w:r>
            <w:bookmarkStart w:id="318" w:name="xdx_406_eus-gaap--WeightedAverageNumberO"/>
            <w:bookmarkEnd w:id="318"/>
          </w:p>
        </w:tc>
      </w:tr>
      <w:tr>
        <w:trPr/>
        <w:tc>
          <w:tcPr>
            <w:tcW w:w="7777" w:type="dxa"/>
            <w:tcBorders/>
            <w:vAlign w:val="center"/>
          </w:tcPr>
          <w:p>
            <w:pPr>
              <w:pStyle w:val="TableContents"/>
              <w:bidi w:val="0"/>
              <w:spacing w:before="0" w:after="283"/>
              <w:jc w:val="left"/>
              <w:rPr>
                <w:sz w:val="20"/>
              </w:rPr>
            </w:pPr>
            <w:r>
              <w:rPr>
                <w:sz w:val="20"/>
              </w:rPr>
              <w:t>Weighted average number of diluted common shares outstanding</w:t>
            </w:r>
          </w:p>
        </w:tc>
        <w:tc>
          <w:tcPr>
            <w:tcW w:w="60" w:type="dxa"/>
            <w:tcBorders/>
            <w:vAlign w:val="center"/>
          </w:tcPr>
          <w:p>
            <w:pPr>
              <w:pStyle w:val="TableContents"/>
              <w:bidi w:val="0"/>
              <w:spacing w:before="0" w:after="283"/>
              <w:jc w:val="left"/>
              <w:rPr/>
            </w:pPr>
            <w:r>
              <w:rPr/>
              <w:t> </w:t>
            </w:r>
          </w:p>
        </w:tc>
        <w:tc>
          <w:tcPr>
            <w:tcW w:w="125" w:type="dxa"/>
            <w:tcBorders>
              <w:bottom w:val="double" w:sz="6" w:space="0" w:color="000000"/>
            </w:tcBorders>
            <w:tcMar>
              <w:bottom w:w="28" w:type="dxa"/>
            </w:tcMar>
            <w:vAlign w:val="center"/>
          </w:tcPr>
          <w:p>
            <w:pPr>
              <w:pStyle w:val="TableContents"/>
              <w:bidi w:val="0"/>
              <w:spacing w:before="0" w:after="283"/>
              <w:jc w:val="left"/>
              <w:rPr/>
            </w:pPr>
            <w:r>
              <w:rPr/>
              <w:t> </w:t>
            </w:r>
          </w:p>
        </w:tc>
        <w:tc>
          <w:tcPr>
            <w:tcW w:w="960" w:type="dxa"/>
            <w:tcBorders>
              <w:bottom w:val="double" w:sz="6" w:space="0" w:color="000000"/>
            </w:tcBorders>
            <w:tcMar>
              <w:bottom w:w="28" w:type="dxa"/>
            </w:tcMar>
            <w:vAlign w:val="center"/>
          </w:tcPr>
          <w:p>
            <w:pPr>
              <w:pStyle w:val="TableContents"/>
              <w:bidi w:val="0"/>
              <w:spacing w:before="0" w:after="283"/>
              <w:jc w:val="right"/>
              <w:rPr>
                <w:sz w:val="20"/>
              </w:rPr>
            </w:pPr>
            <w:r>
              <w:rPr>
                <w:sz w:val="20"/>
              </w:rPr>
              <w:t>72,579,715</w:t>
            </w:r>
          </w:p>
        </w:tc>
        <w:tc>
          <w:tcPr>
            <w:tcW w:w="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right"/>
              <w:rPr/>
            </w:pPr>
            <w:r>
              <w:rPr/>
              <w:t> </w:t>
            </w:r>
          </w:p>
        </w:tc>
        <w:tc>
          <w:tcPr>
            <w:tcW w:w="125" w:type="dxa"/>
            <w:tcBorders>
              <w:bottom w:val="double" w:sz="6" w:space="0" w:color="000000"/>
            </w:tcBorders>
            <w:tcMar>
              <w:bottom w:w="28" w:type="dxa"/>
            </w:tcMar>
            <w:vAlign w:val="center"/>
          </w:tcPr>
          <w:p>
            <w:pPr>
              <w:pStyle w:val="TableContents"/>
              <w:bidi w:val="0"/>
              <w:spacing w:before="0" w:after="283"/>
              <w:jc w:val="right"/>
              <w:rPr/>
            </w:pPr>
            <w:r>
              <w:rPr/>
              <w:t> </w:t>
            </w:r>
          </w:p>
        </w:tc>
        <w:tc>
          <w:tcPr>
            <w:tcW w:w="960" w:type="dxa"/>
            <w:tcBorders>
              <w:bottom w:val="double" w:sz="6" w:space="0" w:color="000000"/>
            </w:tcBorders>
            <w:tcMar>
              <w:bottom w:w="28" w:type="dxa"/>
            </w:tcMar>
            <w:vAlign w:val="center"/>
          </w:tcPr>
          <w:p>
            <w:pPr>
              <w:pStyle w:val="TableContents"/>
              <w:bidi w:val="0"/>
              <w:spacing w:before="0" w:after="283"/>
              <w:jc w:val="right"/>
              <w:rPr>
                <w:sz w:val="20"/>
              </w:rPr>
            </w:pPr>
            <w:r>
              <w:rPr>
                <w:sz w:val="20"/>
              </w:rPr>
              <w:t>65,028,815</w:t>
            </w:r>
          </w:p>
        </w:tc>
        <w:tc>
          <w:tcPr>
            <w:tcW w:w="78" w:type="dxa"/>
            <w:tcBorders/>
            <w:vAlign w:val="center"/>
          </w:tcPr>
          <w:p>
            <w:pPr>
              <w:pStyle w:val="TableContents"/>
              <w:bidi w:val="0"/>
              <w:spacing w:before="0" w:after="283"/>
              <w:jc w:val="right"/>
              <w:rPr/>
            </w:pPr>
            <w:r>
              <w:rPr/>
              <w:t> </w:t>
            </w:r>
          </w:p>
        </w:tc>
      </w:tr>
      <w:tr>
        <w:trPr/>
        <w:tc>
          <w:tcPr>
            <w:tcW w:w="777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right"/>
              <w:rPr/>
            </w:pPr>
            <w:r>
              <w:rPr/>
              <w:t> </w:t>
            </w:r>
          </w:p>
        </w:tc>
        <w:tc>
          <w:tcPr>
            <w:tcW w:w="960" w:type="dxa"/>
            <w:tcBorders/>
            <w:shd w:fill="CCEEFF" w:val="clear"/>
            <w:vAlign w:val="center"/>
          </w:tcPr>
          <w:p>
            <w:pPr>
              <w:pStyle w:val="TableContents"/>
              <w:bidi w:val="0"/>
              <w:spacing w:before="0" w:after="283"/>
              <w:jc w:val="right"/>
              <w:rPr/>
            </w:pPr>
            <w:r>
              <w:rPr/>
              <w:t> </w:t>
            </w:r>
          </w:p>
        </w:tc>
        <w:tc>
          <w:tcPr>
            <w:tcW w:w="78" w:type="dxa"/>
            <w:tcBorders/>
            <w:shd w:fill="CCEEFF" w:val="clear"/>
            <w:vAlign w:val="center"/>
          </w:tcPr>
          <w:p>
            <w:pPr>
              <w:pStyle w:val="TableContents"/>
              <w:bidi w:val="0"/>
              <w:spacing w:before="0" w:after="283"/>
              <w:jc w:val="right"/>
              <w:rPr/>
            </w:pPr>
            <w:r>
              <w:rPr/>
              <w:t> </w:t>
            </w:r>
            <w:bookmarkStart w:id="319" w:name="xdx_40D_eus-gaap--EarningsPerShareBasicA"/>
            <w:bookmarkEnd w:id="319"/>
          </w:p>
        </w:tc>
      </w:tr>
      <w:tr>
        <w:trPr/>
        <w:tc>
          <w:tcPr>
            <w:tcW w:w="7777" w:type="dxa"/>
            <w:tcBorders/>
            <w:vAlign w:val="center"/>
          </w:tcPr>
          <w:p>
            <w:pPr>
              <w:pStyle w:val="TableContents"/>
              <w:bidi w:val="0"/>
              <w:spacing w:before="0" w:after="283"/>
              <w:jc w:val="left"/>
              <w:rPr>
                <w:sz w:val="20"/>
                <w:u w:val="single"/>
              </w:rPr>
            </w:pPr>
            <w:r>
              <w:rPr>
                <w:sz w:val="20"/>
                <w:u w:val="single"/>
              </w:rPr>
              <w:t>Basic earnings per common share:</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right"/>
              <w:rPr/>
            </w:pPr>
            <w:r>
              <w:rPr/>
              <w:t> </w:t>
            </w:r>
          </w:p>
        </w:tc>
        <w:tc>
          <w:tcPr>
            <w:tcW w:w="960" w:type="dxa"/>
            <w:tcBorders/>
            <w:vAlign w:val="center"/>
          </w:tcPr>
          <w:p>
            <w:pPr>
              <w:pStyle w:val="TableContents"/>
              <w:bidi w:val="0"/>
              <w:spacing w:before="0" w:after="283"/>
              <w:jc w:val="right"/>
              <w:rPr/>
            </w:pPr>
            <w:r>
              <w:rPr/>
              <w:t> </w:t>
            </w:r>
          </w:p>
        </w:tc>
        <w:tc>
          <w:tcPr>
            <w:tcW w:w="78" w:type="dxa"/>
            <w:tcBorders/>
            <w:vAlign w:val="center"/>
          </w:tcPr>
          <w:p>
            <w:pPr>
              <w:pStyle w:val="TableContents"/>
              <w:bidi w:val="0"/>
              <w:spacing w:before="0" w:after="283"/>
              <w:jc w:val="right"/>
              <w:rPr/>
            </w:pPr>
            <w:r>
              <w:rPr/>
              <w:t> </w:t>
            </w:r>
            <w:bookmarkStart w:id="320" w:name="xdx_40F_eus-gaap--EarningsPerShareBasic_"/>
            <w:bookmarkEnd w:id="320"/>
          </w:p>
        </w:tc>
      </w:tr>
      <w:tr>
        <w:trPr/>
        <w:tc>
          <w:tcPr>
            <w:tcW w:w="7777" w:type="dxa"/>
            <w:tcBorders/>
            <w:shd w:fill="CCEEFF" w:val="clear"/>
            <w:vAlign w:val="center"/>
          </w:tcPr>
          <w:p>
            <w:pPr>
              <w:pStyle w:val="TableContents"/>
              <w:bidi w:val="0"/>
              <w:spacing w:before="0" w:after="283"/>
              <w:jc w:val="left"/>
              <w:rPr>
                <w:sz w:val="20"/>
              </w:rPr>
            </w:pPr>
            <w:r>
              <w:rPr>
                <w:sz w:val="20"/>
              </w:rPr>
              <w:t>Net income per share – basic</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960"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0.03</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w:t>
            </w:r>
          </w:p>
        </w:tc>
        <w:tc>
          <w:tcPr>
            <w:tcW w:w="960"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0.07</w:t>
            </w:r>
          </w:p>
        </w:tc>
        <w:tc>
          <w:tcPr>
            <w:tcW w:w="78" w:type="dxa"/>
            <w:tcBorders/>
            <w:shd w:fill="CCEEFF" w:val="clear"/>
            <w:vAlign w:val="center"/>
          </w:tcPr>
          <w:p>
            <w:pPr>
              <w:pStyle w:val="TableContents"/>
              <w:bidi w:val="0"/>
              <w:spacing w:before="0" w:after="283"/>
              <w:jc w:val="right"/>
              <w:rPr/>
            </w:pPr>
            <w:r>
              <w:rPr/>
              <w:t> </w:t>
            </w:r>
            <w:bookmarkStart w:id="321" w:name="xdx_40D_eus-gaap--EarningsPerShareDilute"/>
            <w:bookmarkEnd w:id="321"/>
          </w:p>
        </w:tc>
      </w:tr>
      <w:tr>
        <w:trPr/>
        <w:tc>
          <w:tcPr>
            <w:tcW w:w="7777" w:type="dxa"/>
            <w:tcBorders/>
            <w:vAlign w:val="center"/>
          </w:tcPr>
          <w:p>
            <w:pPr>
              <w:pStyle w:val="TableContents"/>
              <w:bidi w:val="0"/>
              <w:spacing w:before="0" w:after="283"/>
              <w:jc w:val="left"/>
              <w:rPr>
                <w:sz w:val="20"/>
              </w:rPr>
            </w:pPr>
            <w:r>
              <w:rPr>
                <w:sz w:val="20"/>
              </w:rPr>
              <w:t>Diluted earnings per common share:</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right"/>
              <w:rPr/>
            </w:pPr>
            <w:r>
              <w:rPr/>
              <w:t> </w:t>
            </w:r>
          </w:p>
        </w:tc>
        <w:tc>
          <w:tcPr>
            <w:tcW w:w="960" w:type="dxa"/>
            <w:tcBorders/>
            <w:vAlign w:val="center"/>
          </w:tcPr>
          <w:p>
            <w:pPr>
              <w:pStyle w:val="TableContents"/>
              <w:bidi w:val="0"/>
              <w:spacing w:before="0" w:after="283"/>
              <w:jc w:val="right"/>
              <w:rPr/>
            </w:pPr>
            <w:r>
              <w:rPr/>
              <w:t> </w:t>
            </w:r>
          </w:p>
        </w:tc>
        <w:tc>
          <w:tcPr>
            <w:tcW w:w="78" w:type="dxa"/>
            <w:tcBorders/>
            <w:vAlign w:val="center"/>
          </w:tcPr>
          <w:p>
            <w:pPr>
              <w:pStyle w:val="TableContents"/>
              <w:bidi w:val="0"/>
              <w:spacing w:before="0" w:after="283"/>
              <w:jc w:val="right"/>
              <w:rPr/>
            </w:pPr>
            <w:r>
              <w:rPr/>
              <w:t> </w:t>
            </w:r>
            <w:bookmarkStart w:id="322" w:name="xdx_408_eus-gaap--EarningsPerShareDilute"/>
            <w:bookmarkEnd w:id="322"/>
          </w:p>
        </w:tc>
      </w:tr>
      <w:tr>
        <w:trPr/>
        <w:tc>
          <w:tcPr>
            <w:tcW w:w="7777" w:type="dxa"/>
            <w:tcBorders/>
            <w:shd w:fill="CCEEFF" w:val="clear"/>
            <w:vAlign w:val="center"/>
          </w:tcPr>
          <w:p>
            <w:pPr>
              <w:pStyle w:val="TableContents"/>
              <w:bidi w:val="0"/>
              <w:spacing w:before="0" w:after="283"/>
              <w:jc w:val="left"/>
              <w:rPr>
                <w:sz w:val="20"/>
              </w:rPr>
            </w:pPr>
            <w:r>
              <w:rPr>
                <w:sz w:val="20"/>
              </w:rPr>
              <w:t>Net income per share – diluted</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960"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0.02</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w:t>
            </w:r>
          </w:p>
        </w:tc>
        <w:tc>
          <w:tcPr>
            <w:tcW w:w="960"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0.07</w:t>
            </w:r>
          </w:p>
        </w:tc>
        <w:tc>
          <w:tcPr>
            <w:tcW w:w="78" w:type="dxa"/>
            <w:tcBorders/>
            <w:shd w:fill="CCEEFF" w:val="clear"/>
            <w:vAlign w:val="center"/>
          </w:tcPr>
          <w:p>
            <w:pPr>
              <w:pStyle w:val="TableContents"/>
              <w:bidi w:val="0"/>
              <w:spacing w:before="0" w:after="283"/>
              <w:jc w:val="right"/>
              <w:rPr/>
            </w:pPr>
            <w:r>
              <w:rPr/>
              <w:t> </w:t>
            </w:r>
          </w:p>
        </w:tc>
      </w:tr>
    </w:tbl>
    <w:p>
      <w:pPr>
        <w:pStyle w:val="TextBody"/>
        <w:bidi w:val="0"/>
        <w:spacing w:before="0" w:after="0"/>
        <w:ind w:left="43" w:right="43" w:hanging="0"/>
        <w:jc w:val="both"/>
        <w:rPr>
          <w:caps w:val="false"/>
          <w:smallCaps w:val="false"/>
        </w:rPr>
      </w:pPr>
      <w:bookmarkStart w:id="323" w:name="xdx_8AA_z9p2h4OKAvAb"/>
      <w:bookmarkEnd w:id="323"/>
      <w:r>
        <w:rPr>
          <w:caps w:val="false"/>
          <w:smallCaps w:val="false"/>
        </w:rPr>
        <w:t> </w:t>
      </w:r>
    </w:p>
    <w:p>
      <w:pPr>
        <w:pStyle w:val="TextBody"/>
        <w:bidi w:val="0"/>
        <w:spacing w:before="0" w:after="0"/>
        <w:ind w:left="43" w:right="43" w:hanging="0"/>
        <w:jc w:val="both"/>
        <w:rPr>
          <w:rFonts w:ascii="Times New Roman;Times;Serif" w:hAnsi="Times New Roman;Times;Serif"/>
          <w:b/>
          <w:i w:val="false"/>
          <w:caps w:val="false"/>
          <w:smallCaps w:val="false"/>
          <w:sz w:val="20"/>
        </w:rPr>
      </w:pPr>
      <w:bookmarkStart w:id="324" w:name="xdx_86B_zWBbBFQR0gj1"/>
      <w:bookmarkStart w:id="325" w:name="xdx_843_eus-gaap--NewAccountingPronounce"/>
      <w:bookmarkEnd w:id="324"/>
      <w:bookmarkEnd w:id="325"/>
      <w:r>
        <w:rPr>
          <w:rFonts w:ascii="Times New Roman;Times;Serif" w:hAnsi="Times New Roman;Times;Serif"/>
          <w:b/>
          <w:i w:val="false"/>
          <w:caps w:val="false"/>
          <w:smallCaps w:val="false"/>
          <w:sz w:val="20"/>
        </w:rPr>
        <w:t>Recently Adopted Pronouncements</w:t>
      </w:r>
    </w:p>
    <w:p>
      <w:pPr>
        <w:pStyle w:val="TextBody"/>
        <w:bidi w:val="0"/>
        <w:spacing w:before="0" w:after="0"/>
        <w:ind w:left="43" w:right="43" w:hanging="0"/>
        <w:jc w:val="both"/>
        <w:rPr>
          <w:caps w:val="false"/>
          <w:smallCaps w:val="false"/>
        </w:rPr>
      </w:pPr>
      <w:r>
        <w:rPr>
          <w:caps w:val="false"/>
          <w:smallCaps w:val="false"/>
        </w:rPr>
        <w:t> </w:t>
      </w:r>
    </w:p>
    <w:p>
      <w:pPr>
        <w:pStyle w:val="TextBody"/>
        <w:bidi w:val="0"/>
        <w:spacing w:before="0" w:after="0"/>
        <w:ind w:left="43" w:right="43"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2023 the FASB issued ASU 2023-09 “</w:t>
      </w:r>
      <w:r>
        <w:rPr>
          <w:rFonts w:ascii="Times New Roman;Times;Serif" w:hAnsi="Times New Roman;Times;Serif"/>
          <w:b w:val="false"/>
          <w:i/>
          <w:caps w:val="false"/>
          <w:smallCaps w:val="false"/>
          <w:sz w:val="20"/>
        </w:rPr>
        <w:t>Improvements to Income Tax Disclosures</w:t>
      </w:r>
      <w:r>
        <w:rPr>
          <w:rFonts w:ascii="Times New Roman;Times;Serif" w:hAnsi="Times New Roman;Times;Serif"/>
          <w:b w:val="false"/>
          <w:i w:val="false"/>
          <w:caps w:val="false"/>
          <w:smallCaps w:val="false"/>
          <w:sz w:val="20"/>
        </w:rPr>
        <w:t>”, which the Company adopted in 2025. The amendments in this Update address investor requests for more transparency about income tax information through improvements to income tax disclosures primarily related to the rate reconciliation and income taxes paid information. This Update also includes certain other amendments to improve the effectiveness of income tax disclosures (see Note 8).</w:t>
      </w:r>
    </w:p>
    <w:p>
      <w:pPr>
        <w:pStyle w:val="TextBody"/>
        <w:bidi w:val="0"/>
        <w:spacing w:before="0" w:after="0"/>
        <w:ind w:left="43" w:right="43" w:firstLine="720"/>
        <w:jc w:val="both"/>
        <w:rPr>
          <w:caps w:val="false"/>
          <w:smallCaps w:val="false"/>
        </w:rPr>
      </w:pPr>
      <w:bookmarkStart w:id="326" w:name="xdx_858_zbfzKaqCJ0R9"/>
      <w:bookmarkEnd w:id="326"/>
      <w:r>
        <w:rPr>
          <w:caps w:val="false"/>
          <w:smallCaps w:val="false"/>
        </w:rPr>
        <w:t> </w:t>
      </w:r>
    </w:p>
    <w:p>
      <w:pPr>
        <w:pStyle w:val="TextBody"/>
        <w:bidi w:val="0"/>
        <w:spacing w:before="0" w:after="0"/>
        <w:ind w:left="43" w:right="43"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F-11 </w:t>
      </w:r>
    </w:p>
    <w:p>
      <w:pPr>
        <w:pStyle w:val="TextBody"/>
        <w:bidi w:val="0"/>
        <w:spacing w:before="0" w:after="0"/>
        <w:ind w:left="43" w:right="43"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27" w:name="xdx_869_z1p4FySnZty6"/>
      <w:bookmarkStart w:id="328" w:name="xdx_840_ecustom--RecentlyIssuedPronounce"/>
      <w:bookmarkEnd w:id="327"/>
      <w:bookmarkEnd w:id="328"/>
      <w:r>
        <w:rPr>
          <w:rFonts w:ascii="Times New Roman;Times;Serif" w:hAnsi="Times New Roman;Times;Serif"/>
          <w:b/>
          <w:i w:val="false"/>
          <w:caps w:val="false"/>
          <w:smallCaps w:val="false"/>
          <w:sz w:val="20"/>
        </w:rPr>
        <w:t>Recently Issued Pronouncements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3" w:right="43"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FASB issued ASU 2024-03 “</w:t>
      </w:r>
      <w:r>
        <w:rPr>
          <w:rFonts w:ascii="Times New Roman;Times;Serif" w:hAnsi="Times New Roman;Times;Serif"/>
          <w:b w:val="false"/>
          <w:i/>
          <w:caps w:val="false"/>
          <w:smallCaps w:val="false"/>
          <w:sz w:val="20"/>
        </w:rPr>
        <w:t>Disaggregation of Income Statement Expenses</w:t>
      </w:r>
      <w:r>
        <w:rPr>
          <w:rFonts w:ascii="Times New Roman;Times;Serif" w:hAnsi="Times New Roman;Times;Serif"/>
          <w:b w:val="false"/>
          <w:i w:val="false"/>
          <w:caps w:val="false"/>
          <w:smallCaps w:val="false"/>
          <w:sz w:val="20"/>
        </w:rPr>
        <w:t xml:space="preserve">”, the amendments in this Update improve the disclosures about a public business entity’s expenses and address requests from investors for more detailed information about the types of expenses (including purchases of inventory, employee compensation, depreciation, amortization, and depletion) in commonly presented expense captions (such as cost of sales, SG&amp;A, and research and development). The amendments in this Update are effective for annual reporting periods beginning after December 15, 2026, and interim reporting periods beginning after December 15, 2027. </w:t>
      </w:r>
      <w:r>
        <w:rPr>
          <w:rFonts w:ascii="Times New Roman;Times;Serif" w:hAnsi="Times New Roman;Times;Serif"/>
          <w:b w:val="false"/>
          <w:i w:val="false"/>
          <w:caps w:val="false"/>
          <w:smallCaps w:val="false"/>
          <w:sz w:val="20"/>
          <w:shd w:fill="FFFFFF" w:val="clear"/>
        </w:rPr>
        <w:t>The Company is currently evaluating the impact of the adoption of this standard on the consolidated financial statements.</w:t>
      </w:r>
    </w:p>
    <w:p>
      <w:pPr>
        <w:pStyle w:val="TextBody"/>
        <w:bidi w:val="0"/>
        <w:spacing w:before="0" w:after="0"/>
        <w:ind w:left="43" w:right="43"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2025 the FASB issued ASU 2025-05 “</w:t>
      </w:r>
      <w:r>
        <w:rPr>
          <w:rFonts w:ascii="Times New Roman;Times;Serif" w:hAnsi="Times New Roman;Times;Serif"/>
          <w:b w:val="false"/>
          <w:i/>
          <w:caps w:val="false"/>
          <w:smallCaps w:val="false"/>
          <w:sz w:val="20"/>
        </w:rPr>
        <w:t>Measurement of Credit Losses for Accounts Receivable and Contract Assets</w:t>
      </w:r>
      <w:r>
        <w:rPr>
          <w:rFonts w:ascii="Times New Roman;Times;Serif" w:hAnsi="Times New Roman;Times;Serif"/>
          <w:b w:val="false"/>
          <w:i w:val="false"/>
          <w:caps w:val="false"/>
          <w:smallCaps w:val="false"/>
          <w:sz w:val="20"/>
        </w:rPr>
        <w:t xml:space="preserve">”, which addresses challenges encountered when applying the guidance in Topic 326, Financial Instruments—Credit Losses, to current accounts receivable and current contract assets arising from transactions accounted for under Topic 606, Revenue from Contracts with Customers. The Private Company Council (PCC) initiated this project in response to concerns raised by private company stakeholders. The amendments will be effective for annual reporting periods beginning after December 15, 2025, and interim reporting periods within those annual reporting periods. </w:t>
      </w:r>
      <w:r>
        <w:rPr>
          <w:rFonts w:ascii="Times New Roman;Times;Serif" w:hAnsi="Times New Roman;Times;Serif"/>
          <w:b w:val="false"/>
          <w:i w:val="false"/>
          <w:caps w:val="false"/>
          <w:smallCaps w:val="false"/>
          <w:sz w:val="20"/>
          <w:shd w:fill="FFFFFF" w:val="clear"/>
        </w:rPr>
        <w:t>The Company is currently evaluating the impact of the adoption of this standard on the consolidated financial statements.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29" w:name="xdx_803_eus-gaap--DebtDisclosureTextBloc"/>
      <w:bookmarkEnd w:id="329"/>
      <w:r>
        <w:rPr>
          <w:rFonts w:ascii="Times New Roman;Times;Serif" w:hAnsi="Times New Roman;Times;Serif"/>
          <w:b/>
          <w:i w:val="false"/>
          <w:caps w:val="false"/>
          <w:smallCaps w:val="false"/>
          <w:sz w:val="20"/>
        </w:rPr>
        <w:t xml:space="preserve">(3) </w:t>
      </w:r>
      <w:bookmarkStart w:id="330" w:name="xdx_827_zPP1Oeq3BX1e"/>
      <w:bookmarkEnd w:id="330"/>
      <w:r>
        <w:rPr>
          <w:rFonts w:ascii="Times New Roman;Times;Serif" w:hAnsi="Times New Roman;Times;Serif"/>
          <w:b/>
          <w:i w:val="false"/>
          <w:caps w:val="false"/>
          <w:smallCaps w:val="false"/>
          <w:sz w:val="20"/>
        </w:rPr>
        <w:t>Related Party Notes and Lines of Credit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bookmarkStart w:id="331" w:name="xdx_89B_eus-gaap--ScheduleOfLineOfCredit"/>
      <w:bookmarkEnd w:id="331"/>
      <w:r>
        <w:rPr>
          <w:rFonts w:ascii="Times New Roman;Times;Serif" w:hAnsi="Times New Roman;Times;Serif"/>
          <w:b w:val="false"/>
          <w:i w:val="false"/>
          <w:caps w:val="false"/>
          <w:smallCaps w:val="false"/>
          <w:sz w:val="20"/>
        </w:rPr>
        <w:t>Notes and lines of credit consist of the following:</w:t>
      </w:r>
    </w:p>
    <w:tbl>
      <w:tblPr>
        <w:tblW w:w="10205" w:type="dxa"/>
        <w:jc w:val="left"/>
        <w:tblInd w:w="0" w:type="dxa"/>
        <w:tblLayout w:type="fixed"/>
        <w:tblCellMar>
          <w:top w:w="0" w:type="dxa"/>
          <w:left w:w="0" w:type="dxa"/>
          <w:bottom w:w="0" w:type="dxa"/>
          <w:right w:w="0" w:type="dxa"/>
        </w:tblCellMar>
      </w:tblPr>
      <w:tblGrid>
        <w:gridCol w:w="1603"/>
        <w:gridCol w:w="60"/>
        <w:gridCol w:w="1475"/>
        <w:gridCol w:w="60"/>
        <w:gridCol w:w="273"/>
        <w:gridCol w:w="1238"/>
        <w:gridCol w:w="71"/>
        <w:gridCol w:w="71"/>
        <w:gridCol w:w="358"/>
        <w:gridCol w:w="1392"/>
        <w:gridCol w:w="60"/>
        <w:gridCol w:w="60"/>
        <w:gridCol w:w="394"/>
        <w:gridCol w:w="1117"/>
        <w:gridCol w:w="71"/>
        <w:gridCol w:w="71"/>
        <w:gridCol w:w="386"/>
        <w:gridCol w:w="1363"/>
        <w:gridCol w:w="82"/>
      </w:tblGrid>
      <w:tr>
        <w:trPr/>
        <w:tc>
          <w:tcPr>
            <w:tcW w:w="160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25" w:type="dxa"/>
            <w:gridSpan w:val="14"/>
            <w:tcBorders/>
            <w:vAlign w:val="center"/>
          </w:tcPr>
          <w:p>
            <w:pPr>
              <w:pStyle w:val="TableContents"/>
              <w:bidi w:val="0"/>
              <w:spacing w:before="0" w:after="283"/>
              <w:jc w:val="center"/>
              <w:rPr/>
            </w:pPr>
            <w:r>
              <w:rPr/>
              <w:t> </w:t>
            </w:r>
          </w:p>
        </w:tc>
        <w:tc>
          <w:tcPr>
            <w:tcW w:w="82" w:type="dxa"/>
            <w:tcBorders/>
            <w:vAlign w:val="center"/>
          </w:tcPr>
          <w:p>
            <w:pPr>
              <w:pStyle w:val="TableContents"/>
              <w:bidi w:val="0"/>
              <w:spacing w:before="0" w:after="283"/>
              <w:jc w:val="left"/>
              <w:rPr/>
            </w:pPr>
            <w:r>
              <w:rPr/>
              <w:t> </w:t>
            </w:r>
          </w:p>
        </w:tc>
      </w:tr>
      <w:tr>
        <w:trPr/>
        <w:tc>
          <w:tcPr>
            <w:tcW w:w="160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03"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As of December 31, 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02"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As of December 31, 2024</w:t>
            </w:r>
          </w:p>
        </w:tc>
        <w:tc>
          <w:tcPr>
            <w:tcW w:w="82" w:type="dxa"/>
            <w:tcBorders/>
            <w:vAlign w:val="center"/>
          </w:tcPr>
          <w:p>
            <w:pPr>
              <w:pStyle w:val="TableContents"/>
              <w:bidi w:val="0"/>
              <w:spacing w:before="0" w:after="283"/>
              <w:jc w:val="left"/>
              <w:rPr/>
            </w:pPr>
            <w:r>
              <w:rPr/>
              <w:t> </w:t>
            </w:r>
          </w:p>
        </w:tc>
      </w:tr>
      <w:tr>
        <w:trPr/>
        <w:tc>
          <w:tcPr>
            <w:tcW w:w="160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center"/>
              <w:rPr>
                <w:b/>
                <w:sz w:val="20"/>
              </w:rPr>
            </w:pPr>
            <w:r>
              <w:rPr>
                <w:b/>
                <w:sz w:val="20"/>
              </w:rPr>
              <w:t>Rate at December 31, 2025</w:t>
            </w:r>
          </w:p>
        </w:tc>
        <w:tc>
          <w:tcPr>
            <w:tcW w:w="60" w:type="dxa"/>
            <w:tcBorders/>
            <w:vAlign w:val="center"/>
          </w:tcPr>
          <w:p>
            <w:pPr>
              <w:pStyle w:val="TableContents"/>
              <w:bidi w:val="0"/>
              <w:spacing w:before="0" w:after="283"/>
              <w:jc w:val="left"/>
              <w:rPr/>
            </w:pPr>
            <w:r>
              <w:rPr/>
              <w:t> </w:t>
            </w:r>
          </w:p>
        </w:tc>
        <w:tc>
          <w:tcPr>
            <w:tcW w:w="1511" w:type="dxa"/>
            <w:gridSpan w:val="2"/>
            <w:tcBorders/>
            <w:vAlign w:val="center"/>
          </w:tcPr>
          <w:p>
            <w:pPr>
              <w:pStyle w:val="TableContents"/>
              <w:bidi w:val="0"/>
              <w:spacing w:before="0" w:after="283"/>
              <w:jc w:val="center"/>
              <w:rPr>
                <w:b/>
                <w:sz w:val="20"/>
              </w:rPr>
            </w:pPr>
            <w:r>
              <w:rPr>
                <w:b/>
                <w:sz w:val="20"/>
              </w:rPr>
              <w:t>Total Borrowing Capacity</w:t>
            </w:r>
          </w:p>
        </w:tc>
        <w:tc>
          <w:tcPr>
            <w:tcW w:w="71"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750" w:type="dxa"/>
            <w:gridSpan w:val="2"/>
            <w:tcBorders/>
            <w:vAlign w:val="center"/>
          </w:tcPr>
          <w:p>
            <w:pPr>
              <w:pStyle w:val="TableContents"/>
              <w:bidi w:val="0"/>
              <w:spacing w:before="0" w:after="283"/>
              <w:jc w:val="center"/>
              <w:rPr>
                <w:b/>
                <w:sz w:val="20"/>
              </w:rPr>
            </w:pPr>
            <w:r>
              <w:rPr>
                <w:b/>
                <w:sz w:val="20"/>
              </w:rPr>
              <w:t>Outstanding Borrowed Balance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11" w:type="dxa"/>
            <w:gridSpan w:val="2"/>
            <w:tcBorders/>
            <w:vAlign w:val="center"/>
          </w:tcPr>
          <w:p>
            <w:pPr>
              <w:pStyle w:val="TableContents"/>
              <w:bidi w:val="0"/>
              <w:spacing w:before="0" w:after="283"/>
              <w:jc w:val="center"/>
              <w:rPr>
                <w:b/>
                <w:sz w:val="20"/>
              </w:rPr>
            </w:pPr>
            <w:r>
              <w:rPr>
                <w:b/>
                <w:sz w:val="20"/>
              </w:rPr>
              <w:t>Total Borrowing Capacity</w:t>
            </w:r>
          </w:p>
        </w:tc>
        <w:tc>
          <w:tcPr>
            <w:tcW w:w="71"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749" w:type="dxa"/>
            <w:gridSpan w:val="2"/>
            <w:tcBorders/>
            <w:vAlign w:val="center"/>
          </w:tcPr>
          <w:p>
            <w:pPr>
              <w:pStyle w:val="TableContents"/>
              <w:bidi w:val="0"/>
              <w:spacing w:before="0" w:after="283"/>
              <w:jc w:val="center"/>
              <w:rPr>
                <w:b/>
                <w:sz w:val="20"/>
              </w:rPr>
            </w:pPr>
            <w:r>
              <w:rPr>
                <w:b/>
                <w:sz w:val="20"/>
              </w:rPr>
              <w:t>Outstanding Borrowed Balance</w:t>
            </w:r>
          </w:p>
        </w:tc>
        <w:tc>
          <w:tcPr>
            <w:tcW w:w="82" w:type="dxa"/>
            <w:tcBorders/>
            <w:vAlign w:val="center"/>
          </w:tcPr>
          <w:p>
            <w:pPr>
              <w:pStyle w:val="TableContents"/>
              <w:bidi w:val="0"/>
              <w:spacing w:before="0" w:after="283"/>
              <w:jc w:val="left"/>
              <w:rPr/>
            </w:pPr>
            <w:r>
              <w:rPr/>
              <w:t> </w:t>
            </w:r>
          </w:p>
        </w:tc>
      </w:tr>
      <w:tr>
        <w:trPr/>
        <w:tc>
          <w:tcPr>
            <w:tcW w:w="1603" w:type="dxa"/>
            <w:tcBorders/>
            <w:shd w:fill="CCEEFF" w:val="clear"/>
            <w:vAlign w:val="center"/>
          </w:tcPr>
          <w:p>
            <w:pPr>
              <w:pStyle w:val="TableContents"/>
              <w:bidi w:val="0"/>
              <w:spacing w:before="0" w:after="283"/>
              <w:jc w:val="left"/>
              <w:rPr>
                <w:sz w:val="20"/>
              </w:rPr>
            </w:pPr>
            <w:r>
              <w:rPr>
                <w:sz w:val="20"/>
              </w:rPr>
              <w:t xml:space="preserve">Libertyville Bank &amp; Trust </w:t>
            </w:r>
            <w:r>
              <w:rPr>
                <w:position w:val="7"/>
                <w:sz w:val="16"/>
                <w:sz w:val="20"/>
              </w:rPr>
              <w:t>(1)</w:t>
            </w:r>
          </w:p>
        </w:tc>
        <w:tc>
          <w:tcPr>
            <w:tcW w:w="60" w:type="dxa"/>
            <w:tcBorders/>
            <w:shd w:fill="CCEEFF" w:val="clear"/>
            <w:vAlign w:val="center"/>
          </w:tcPr>
          <w:p>
            <w:pPr>
              <w:pStyle w:val="TableContents"/>
              <w:bidi w:val="0"/>
              <w:spacing w:before="0" w:after="283"/>
              <w:jc w:val="left"/>
              <w:rPr/>
            </w:pPr>
            <w:r>
              <w:rPr/>
              <w:t> </w:t>
            </w:r>
            <w:bookmarkStart w:id="332" w:name="xdx_986_eus-gaap--RelatedPartyTransactio"/>
            <w:bookmarkEnd w:id="332"/>
          </w:p>
        </w:tc>
        <w:tc>
          <w:tcPr>
            <w:tcW w:w="1475" w:type="dxa"/>
            <w:tcBorders/>
            <w:shd w:fill="CCEEFF" w:val="clear"/>
            <w:vAlign w:val="center"/>
          </w:tcPr>
          <w:p>
            <w:pPr>
              <w:pStyle w:val="TableContents"/>
              <w:bidi w:val="0"/>
              <w:spacing w:before="0" w:after="283"/>
              <w:jc w:val="center"/>
              <w:rPr>
                <w:sz w:val="20"/>
              </w:rPr>
            </w:pPr>
            <w:r>
              <w:rPr>
                <w:sz w:val="20"/>
              </w:rPr>
              <w:t>7.75%</w:t>
            </w:r>
          </w:p>
        </w:tc>
        <w:tc>
          <w:tcPr>
            <w:tcW w:w="6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sz w:val="20"/>
              </w:rPr>
            </w:pPr>
            <w:r>
              <w:rPr>
                <w:sz w:val="20"/>
              </w:rPr>
              <w:t>$</w:t>
            </w:r>
            <w:bookmarkStart w:id="333" w:name="xdx_988_eus-gaap--LineOfCreditFacilityCu"/>
            <w:bookmarkEnd w:id="333"/>
          </w:p>
        </w:tc>
        <w:tc>
          <w:tcPr>
            <w:tcW w:w="1238" w:type="dxa"/>
            <w:tcBorders/>
            <w:shd w:fill="CCEEFF" w:val="clear"/>
            <w:vAlign w:val="center"/>
          </w:tcPr>
          <w:p>
            <w:pPr>
              <w:pStyle w:val="TableContents"/>
              <w:bidi w:val="0"/>
              <w:spacing w:before="0" w:after="283"/>
              <w:jc w:val="right"/>
              <w:rPr>
                <w:sz w:val="20"/>
              </w:rPr>
            </w:pPr>
            <w:r>
              <w:rPr>
                <w:sz w:val="20"/>
              </w:rPr>
              <w:t>30</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358" w:type="dxa"/>
            <w:tcBorders/>
            <w:shd w:fill="CCEEFF" w:val="clear"/>
            <w:vAlign w:val="center"/>
          </w:tcPr>
          <w:p>
            <w:pPr>
              <w:pStyle w:val="TableContents"/>
              <w:bidi w:val="0"/>
              <w:spacing w:before="0" w:after="283"/>
              <w:jc w:val="left"/>
              <w:rPr>
                <w:sz w:val="20"/>
              </w:rPr>
            </w:pPr>
            <w:r>
              <w:rPr>
                <w:sz w:val="20"/>
              </w:rPr>
              <w:t>$</w:t>
            </w:r>
            <w:bookmarkStart w:id="334" w:name="xdx_988_eus-gaap--LineOfCredit_iI_c20251"/>
            <w:bookmarkEnd w:id="334"/>
          </w:p>
        </w:tc>
        <w:tc>
          <w:tcPr>
            <w:tcW w:w="139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4" w:type="dxa"/>
            <w:tcBorders/>
            <w:shd w:fill="CCEEFF" w:val="clear"/>
            <w:vAlign w:val="center"/>
          </w:tcPr>
          <w:p>
            <w:pPr>
              <w:pStyle w:val="TableContents"/>
              <w:bidi w:val="0"/>
              <w:spacing w:before="0" w:after="283"/>
              <w:jc w:val="left"/>
              <w:rPr>
                <w:sz w:val="20"/>
              </w:rPr>
            </w:pPr>
            <w:r>
              <w:rPr>
                <w:sz w:val="20"/>
              </w:rPr>
              <w:t xml:space="preserve">$ </w:t>
            </w:r>
            <w:bookmarkStart w:id="335" w:name="xdx_98A_eus-gaap--LineOfCreditFacilityCu"/>
            <w:bookmarkEnd w:id="335"/>
          </w:p>
        </w:tc>
        <w:tc>
          <w:tcPr>
            <w:tcW w:w="1117" w:type="dxa"/>
            <w:tcBorders/>
            <w:shd w:fill="CCEEFF" w:val="clear"/>
            <w:vAlign w:val="center"/>
          </w:tcPr>
          <w:p>
            <w:pPr>
              <w:pStyle w:val="TableContents"/>
              <w:bidi w:val="0"/>
              <w:spacing w:before="0" w:after="283"/>
              <w:jc w:val="right"/>
              <w:rPr>
                <w:sz w:val="20"/>
              </w:rPr>
            </w:pPr>
            <w:r>
              <w:rPr>
                <w:sz w:val="20"/>
              </w:rPr>
              <w:t>30</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386" w:type="dxa"/>
            <w:tcBorders/>
            <w:shd w:fill="CCEEFF" w:val="clear"/>
            <w:vAlign w:val="center"/>
          </w:tcPr>
          <w:p>
            <w:pPr>
              <w:pStyle w:val="TableContents"/>
              <w:bidi w:val="0"/>
              <w:spacing w:before="0" w:after="283"/>
              <w:jc w:val="left"/>
              <w:rPr>
                <w:sz w:val="20"/>
              </w:rPr>
            </w:pPr>
            <w:r>
              <w:rPr>
                <w:sz w:val="20"/>
              </w:rPr>
              <w:t xml:space="preserve">$ </w:t>
            </w:r>
            <w:bookmarkStart w:id="336" w:name="xdx_98A_eus-gaap--LineOfCredit_iI_c20241"/>
            <w:bookmarkEnd w:id="336"/>
          </w:p>
        </w:tc>
        <w:tc>
          <w:tcPr>
            <w:tcW w:w="1363" w:type="dxa"/>
            <w:tcBorders/>
            <w:shd w:fill="CCEEFF" w:val="clear"/>
            <w:vAlign w:val="center"/>
          </w:tcPr>
          <w:p>
            <w:pPr>
              <w:pStyle w:val="TableContents"/>
              <w:bidi w:val="0"/>
              <w:spacing w:before="0" w:after="283"/>
              <w:jc w:val="right"/>
              <w:rPr/>
            </w:pPr>
            <w:r>
              <w:rPr/>
              <w:t>—</w:t>
            </w:r>
          </w:p>
        </w:tc>
        <w:tc>
          <w:tcPr>
            <w:tcW w:w="82" w:type="dxa"/>
            <w:tcBorders/>
            <w:shd w:fill="CCEEFF" w:val="clear"/>
            <w:vAlign w:val="center"/>
          </w:tcPr>
          <w:p>
            <w:pPr>
              <w:pStyle w:val="TableContents"/>
              <w:bidi w:val="0"/>
              <w:spacing w:before="0" w:after="283"/>
              <w:jc w:val="left"/>
              <w:rPr/>
            </w:pPr>
            <w:r>
              <w:rPr/>
              <w:t> </w:t>
            </w:r>
          </w:p>
        </w:tc>
      </w:tr>
      <w:tr>
        <w:trPr/>
        <w:tc>
          <w:tcPr>
            <w:tcW w:w="1603" w:type="dxa"/>
            <w:tcBorders/>
            <w:vAlign w:val="center"/>
          </w:tcPr>
          <w:p>
            <w:pPr>
              <w:pStyle w:val="TableContents"/>
              <w:bidi w:val="0"/>
              <w:spacing w:before="0" w:after="283"/>
              <w:jc w:val="left"/>
              <w:rPr>
                <w:sz w:val="20"/>
              </w:rPr>
            </w:pPr>
            <w:r>
              <w:rPr>
                <w:sz w:val="20"/>
              </w:rPr>
              <w:t xml:space="preserve">Libertyville Bank &amp; Trust </w:t>
            </w:r>
            <w:r>
              <w:rPr>
                <w:position w:val="7"/>
                <w:sz w:val="16"/>
                <w:sz w:val="20"/>
              </w:rPr>
              <w:t>(2)</w:t>
            </w:r>
          </w:p>
        </w:tc>
        <w:tc>
          <w:tcPr>
            <w:tcW w:w="60" w:type="dxa"/>
            <w:tcBorders/>
            <w:shd w:fill="FFFFFF" w:val="clear"/>
            <w:vAlign w:val="center"/>
          </w:tcPr>
          <w:p>
            <w:pPr>
              <w:pStyle w:val="TableContents"/>
              <w:bidi w:val="0"/>
              <w:spacing w:before="0" w:after="283"/>
              <w:jc w:val="left"/>
              <w:rPr/>
            </w:pPr>
            <w:r>
              <w:rPr/>
              <w:t> </w:t>
            </w:r>
            <w:bookmarkStart w:id="337" w:name="xdx_989_eus-gaap--RelatedPartyTransactio"/>
            <w:bookmarkEnd w:id="337"/>
          </w:p>
        </w:tc>
        <w:tc>
          <w:tcPr>
            <w:tcW w:w="1475" w:type="dxa"/>
            <w:tcBorders/>
            <w:shd w:fill="FFFFFF" w:val="clear"/>
            <w:vAlign w:val="center"/>
          </w:tcPr>
          <w:p>
            <w:pPr>
              <w:pStyle w:val="TableContents"/>
              <w:bidi w:val="0"/>
              <w:spacing w:before="0" w:after="283"/>
              <w:jc w:val="center"/>
              <w:rPr>
                <w:sz w:val="20"/>
              </w:rPr>
            </w:pPr>
            <w:r>
              <w:rPr>
                <w:sz w:val="20"/>
              </w:rPr>
              <w:t>7.75%</w:t>
            </w:r>
          </w:p>
        </w:tc>
        <w:tc>
          <w:tcPr>
            <w:tcW w:w="60"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bookmarkStart w:id="338" w:name="xdx_986_eus-gaap--LineOfCreditFacilityCu"/>
            <w:bookmarkEnd w:id="338"/>
          </w:p>
        </w:tc>
        <w:tc>
          <w:tcPr>
            <w:tcW w:w="1238" w:type="dxa"/>
            <w:tcBorders/>
            <w:shd w:fill="FFFFFF" w:val="clear"/>
            <w:vAlign w:val="center"/>
          </w:tcPr>
          <w:p>
            <w:pPr>
              <w:pStyle w:val="TableContents"/>
              <w:bidi w:val="0"/>
              <w:spacing w:before="0" w:after="283"/>
              <w:jc w:val="right"/>
              <w:rPr>
                <w:sz w:val="20"/>
              </w:rPr>
            </w:pPr>
            <w:r>
              <w:rPr>
                <w:sz w:val="20"/>
              </w:rPr>
              <w:t>500</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358" w:type="dxa"/>
            <w:tcBorders/>
            <w:shd w:fill="FFFFFF" w:val="clear"/>
            <w:vAlign w:val="center"/>
          </w:tcPr>
          <w:p>
            <w:pPr>
              <w:pStyle w:val="TableContents"/>
              <w:bidi w:val="0"/>
              <w:spacing w:before="0" w:after="283"/>
              <w:jc w:val="left"/>
              <w:rPr/>
            </w:pPr>
            <w:r>
              <w:rPr/>
              <w:t> </w:t>
            </w:r>
            <w:bookmarkStart w:id="339" w:name="xdx_98D_eus-gaap--LineOfCredit_iI_c20251"/>
            <w:bookmarkEnd w:id="339"/>
          </w:p>
        </w:tc>
        <w:tc>
          <w:tcPr>
            <w:tcW w:w="139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4" w:type="dxa"/>
            <w:tcBorders/>
            <w:shd w:fill="FFFFFF" w:val="clear"/>
            <w:vAlign w:val="center"/>
          </w:tcPr>
          <w:p>
            <w:pPr>
              <w:pStyle w:val="TableContents"/>
              <w:bidi w:val="0"/>
              <w:spacing w:before="0" w:after="283"/>
              <w:jc w:val="left"/>
              <w:rPr/>
            </w:pPr>
            <w:r>
              <w:rPr/>
              <w:t> </w:t>
            </w:r>
            <w:bookmarkStart w:id="340" w:name="xdx_980_eus-gaap--LineOfCreditFacilityCu"/>
            <w:bookmarkEnd w:id="340"/>
          </w:p>
        </w:tc>
        <w:tc>
          <w:tcPr>
            <w:tcW w:w="1117" w:type="dxa"/>
            <w:tcBorders/>
            <w:vAlign w:val="center"/>
          </w:tcPr>
          <w:p>
            <w:pPr>
              <w:pStyle w:val="TableContents"/>
              <w:bidi w:val="0"/>
              <w:spacing w:before="0" w:after="283"/>
              <w:jc w:val="right"/>
              <w:rPr>
                <w:sz w:val="20"/>
              </w:rPr>
            </w:pPr>
            <w:r>
              <w:rPr>
                <w:sz w:val="20"/>
              </w:rPr>
              <w:t>500</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bookmarkStart w:id="341" w:name="xdx_98D_eus-gaap--LineOfCredit_iI_c20241"/>
            <w:bookmarkEnd w:id="341"/>
          </w:p>
        </w:tc>
        <w:tc>
          <w:tcPr>
            <w:tcW w:w="1363" w:type="dxa"/>
            <w:tcBorders/>
            <w:vAlign w:val="center"/>
          </w:tcPr>
          <w:p>
            <w:pPr>
              <w:pStyle w:val="TableContents"/>
              <w:bidi w:val="0"/>
              <w:spacing w:before="0" w:after="283"/>
              <w:jc w:val="right"/>
              <w:rPr/>
            </w:pPr>
            <w:r>
              <w:rPr/>
              <w:t>—</w:t>
            </w:r>
          </w:p>
        </w:tc>
        <w:tc>
          <w:tcPr>
            <w:tcW w:w="82" w:type="dxa"/>
            <w:tcBorders/>
            <w:shd w:fill="FFFFFF" w:val="clear"/>
            <w:vAlign w:val="center"/>
          </w:tcPr>
          <w:p>
            <w:pPr>
              <w:pStyle w:val="TableContents"/>
              <w:bidi w:val="0"/>
              <w:spacing w:before="0" w:after="283"/>
              <w:jc w:val="left"/>
              <w:rPr/>
            </w:pPr>
            <w:r>
              <w:rPr/>
              <w:t> </w:t>
            </w:r>
          </w:p>
        </w:tc>
      </w:tr>
      <w:tr>
        <w:trPr/>
        <w:tc>
          <w:tcPr>
            <w:tcW w:w="1603" w:type="dxa"/>
            <w:tcBorders/>
            <w:shd w:fill="CCEEFF" w:val="clear"/>
            <w:vAlign w:val="center"/>
          </w:tcPr>
          <w:p>
            <w:pPr>
              <w:pStyle w:val="TableContents"/>
              <w:bidi w:val="0"/>
              <w:spacing w:before="0" w:after="283"/>
              <w:jc w:val="left"/>
              <w:rPr>
                <w:sz w:val="20"/>
              </w:rPr>
            </w:pPr>
            <w:r>
              <w:rPr>
                <w:sz w:val="20"/>
              </w:rPr>
              <w:t xml:space="preserve">Beachcorp, LLC </w:t>
            </w:r>
            <w:r>
              <w:rPr>
                <w:position w:val="7"/>
                <w:sz w:val="16"/>
                <w:sz w:val="20"/>
              </w:rPr>
              <w:t xml:space="preserve">(3) </w:t>
            </w:r>
          </w:p>
        </w:tc>
        <w:tc>
          <w:tcPr>
            <w:tcW w:w="60" w:type="dxa"/>
            <w:tcBorders/>
            <w:shd w:fill="CCEEFF" w:val="clear"/>
            <w:vAlign w:val="center"/>
          </w:tcPr>
          <w:p>
            <w:pPr>
              <w:pStyle w:val="TableContents"/>
              <w:bidi w:val="0"/>
              <w:spacing w:before="0" w:after="283"/>
              <w:jc w:val="left"/>
              <w:rPr/>
            </w:pPr>
            <w:r>
              <w:rPr/>
              <w:t> </w:t>
            </w:r>
            <w:bookmarkStart w:id="342" w:name="xdx_98B_eus-gaap--RelatedPartyTransactio"/>
            <w:bookmarkEnd w:id="342"/>
          </w:p>
        </w:tc>
        <w:tc>
          <w:tcPr>
            <w:tcW w:w="1475" w:type="dxa"/>
            <w:tcBorders/>
            <w:shd w:fill="CCEEFF" w:val="clear"/>
            <w:vAlign w:val="center"/>
          </w:tcPr>
          <w:p>
            <w:pPr>
              <w:pStyle w:val="TableContents"/>
              <w:bidi w:val="0"/>
              <w:spacing w:before="0" w:after="283"/>
              <w:jc w:val="center"/>
              <w:rPr>
                <w:sz w:val="20"/>
              </w:rPr>
            </w:pPr>
            <w:r>
              <w:rPr>
                <w:sz w:val="20"/>
              </w:rPr>
              <w:t>7.50%</w:t>
            </w:r>
          </w:p>
        </w:tc>
        <w:tc>
          <w:tcPr>
            <w:tcW w:w="6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pPr>
            <w:r>
              <w:rPr/>
              <w:t> </w:t>
            </w:r>
            <w:bookmarkStart w:id="343" w:name="xdx_98D_eus-gaap--LineOfCreditFacilityCu"/>
            <w:bookmarkEnd w:id="343"/>
          </w:p>
        </w:tc>
        <w:tc>
          <w:tcPr>
            <w:tcW w:w="1238" w:type="dxa"/>
            <w:tcBorders/>
            <w:shd w:fill="CCEEFF" w:val="clear"/>
            <w:vAlign w:val="center"/>
          </w:tcPr>
          <w:p>
            <w:pPr>
              <w:pStyle w:val="TableContents"/>
              <w:bidi w:val="0"/>
              <w:spacing w:before="0" w:after="283"/>
              <w:jc w:val="right"/>
              <w:rPr>
                <w:sz w:val="20"/>
              </w:rPr>
            </w:pPr>
            <w:r>
              <w:rPr>
                <w:sz w:val="20"/>
              </w:rPr>
              <w:t>6,236</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358" w:type="dxa"/>
            <w:tcBorders/>
            <w:shd w:fill="CCEEFF" w:val="clear"/>
            <w:vAlign w:val="center"/>
          </w:tcPr>
          <w:p>
            <w:pPr>
              <w:pStyle w:val="TableContents"/>
              <w:bidi w:val="0"/>
              <w:spacing w:before="0" w:after="283"/>
              <w:jc w:val="left"/>
              <w:rPr/>
            </w:pPr>
            <w:r>
              <w:rPr/>
              <w:t> </w:t>
            </w:r>
            <w:bookmarkStart w:id="344" w:name="xdx_982_eus-gaap--LineOfCredit_iI_c20251"/>
            <w:bookmarkEnd w:id="344"/>
          </w:p>
        </w:tc>
        <w:tc>
          <w:tcPr>
            <w:tcW w:w="1392" w:type="dxa"/>
            <w:tcBorders/>
            <w:shd w:fill="CCEEFF" w:val="clear"/>
            <w:vAlign w:val="center"/>
          </w:tcPr>
          <w:p>
            <w:pPr>
              <w:pStyle w:val="TableContents"/>
              <w:bidi w:val="0"/>
              <w:spacing w:before="0" w:after="283"/>
              <w:jc w:val="right"/>
              <w:rPr>
                <w:sz w:val="20"/>
              </w:rPr>
            </w:pPr>
            <w:r>
              <w:rPr>
                <w:sz w:val="20"/>
              </w:rPr>
              <w:t>4,767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4" w:type="dxa"/>
            <w:tcBorders/>
            <w:shd w:fill="CCEEFF" w:val="clear"/>
            <w:vAlign w:val="center"/>
          </w:tcPr>
          <w:p>
            <w:pPr>
              <w:pStyle w:val="TableContents"/>
              <w:bidi w:val="0"/>
              <w:spacing w:before="0" w:after="283"/>
              <w:jc w:val="left"/>
              <w:rPr/>
            </w:pPr>
            <w:r>
              <w:rPr/>
              <w:t> </w:t>
            </w:r>
            <w:bookmarkStart w:id="345" w:name="xdx_989_eus-gaap--LineOfCreditFacilityCu"/>
            <w:bookmarkEnd w:id="345"/>
          </w:p>
        </w:tc>
        <w:tc>
          <w:tcPr>
            <w:tcW w:w="1117" w:type="dxa"/>
            <w:tcBorders/>
            <w:shd w:fill="CCEEFF" w:val="clear"/>
            <w:vAlign w:val="center"/>
          </w:tcPr>
          <w:p>
            <w:pPr>
              <w:pStyle w:val="TableContents"/>
              <w:bidi w:val="0"/>
              <w:spacing w:before="0" w:after="283"/>
              <w:jc w:val="right"/>
              <w:rPr>
                <w:sz w:val="20"/>
              </w:rPr>
            </w:pPr>
            <w:r>
              <w:rPr>
                <w:sz w:val="20"/>
              </w:rPr>
              <w:t>5,604</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386" w:type="dxa"/>
            <w:tcBorders/>
            <w:shd w:fill="CCEEFF" w:val="clear"/>
            <w:vAlign w:val="center"/>
          </w:tcPr>
          <w:p>
            <w:pPr>
              <w:pStyle w:val="TableContents"/>
              <w:bidi w:val="0"/>
              <w:spacing w:before="0" w:after="283"/>
              <w:jc w:val="left"/>
              <w:rPr/>
            </w:pPr>
            <w:r>
              <w:rPr/>
              <w:t> </w:t>
            </w:r>
            <w:bookmarkStart w:id="346" w:name="xdx_98E_eus-gaap--LineOfCredit_iI_c20241"/>
            <w:bookmarkEnd w:id="346"/>
          </w:p>
        </w:tc>
        <w:tc>
          <w:tcPr>
            <w:tcW w:w="1363" w:type="dxa"/>
            <w:tcBorders/>
            <w:shd w:fill="CCEEFF" w:val="clear"/>
            <w:vAlign w:val="center"/>
          </w:tcPr>
          <w:p>
            <w:pPr>
              <w:pStyle w:val="TableContents"/>
              <w:bidi w:val="0"/>
              <w:spacing w:before="0" w:after="283"/>
              <w:jc w:val="right"/>
              <w:rPr/>
            </w:pPr>
            <w:r>
              <w:rPr/>
              <w:t>—</w:t>
            </w:r>
          </w:p>
        </w:tc>
        <w:tc>
          <w:tcPr>
            <w:tcW w:w="82" w:type="dxa"/>
            <w:tcBorders/>
            <w:shd w:fill="CCEEFF" w:val="clear"/>
            <w:vAlign w:val="center"/>
          </w:tcPr>
          <w:p>
            <w:pPr>
              <w:pStyle w:val="TableContents"/>
              <w:bidi w:val="0"/>
              <w:spacing w:before="0" w:after="283"/>
              <w:jc w:val="left"/>
              <w:rPr/>
            </w:pPr>
            <w:r>
              <w:rPr/>
              <w:t> </w:t>
            </w:r>
          </w:p>
        </w:tc>
      </w:tr>
      <w:tr>
        <w:trPr/>
        <w:tc>
          <w:tcPr>
            <w:tcW w:w="1603" w:type="dxa"/>
            <w:tcBorders/>
            <w:vAlign w:val="center"/>
          </w:tcPr>
          <w:p>
            <w:pPr>
              <w:pStyle w:val="TableContents"/>
              <w:bidi w:val="0"/>
              <w:spacing w:before="0" w:after="283"/>
              <w:jc w:val="left"/>
              <w:rPr>
                <w:sz w:val="20"/>
              </w:rPr>
            </w:pPr>
            <w:r>
              <w:rPr>
                <w:sz w:val="20"/>
              </w:rPr>
              <w:t xml:space="preserve">Beachcorp, LLC </w:t>
            </w:r>
            <w:r>
              <w:rPr>
                <w:position w:val="7"/>
                <w:sz w:val="16"/>
                <w:sz w:val="20"/>
              </w:rPr>
              <w:t xml:space="preserve">(4) </w:t>
            </w:r>
          </w:p>
        </w:tc>
        <w:tc>
          <w:tcPr>
            <w:tcW w:w="60" w:type="dxa"/>
            <w:tcBorders/>
            <w:vAlign w:val="center"/>
          </w:tcPr>
          <w:p>
            <w:pPr>
              <w:pStyle w:val="TableContents"/>
              <w:bidi w:val="0"/>
              <w:spacing w:before="0" w:after="283"/>
              <w:jc w:val="left"/>
              <w:rPr/>
            </w:pPr>
            <w:r>
              <w:rPr/>
              <w:t> </w:t>
            </w:r>
            <w:bookmarkStart w:id="347" w:name="xdx_989_eus-gaap--RelatedPartyTransactio"/>
            <w:bookmarkEnd w:id="347"/>
          </w:p>
        </w:tc>
        <w:tc>
          <w:tcPr>
            <w:tcW w:w="1475" w:type="dxa"/>
            <w:tcBorders/>
            <w:vAlign w:val="center"/>
          </w:tcPr>
          <w:p>
            <w:pPr>
              <w:pStyle w:val="TableContents"/>
              <w:bidi w:val="0"/>
              <w:spacing w:before="0" w:after="283"/>
              <w:jc w:val="center"/>
              <w:rPr>
                <w:sz w:val="20"/>
              </w:rPr>
            </w:pPr>
            <w:r>
              <w:rPr>
                <w:sz w:val="20"/>
              </w:rPr>
              <w:t>7.50%</w:t>
            </w:r>
          </w:p>
        </w:tc>
        <w:tc>
          <w:tcPr>
            <w:tcW w:w="60" w:type="dxa"/>
            <w:tcBorders/>
            <w:vAlign w:val="center"/>
          </w:tcPr>
          <w:p>
            <w:pPr>
              <w:pStyle w:val="TableContents"/>
              <w:bidi w:val="0"/>
              <w:spacing w:before="0" w:after="283"/>
              <w:jc w:val="left"/>
              <w:rPr/>
            </w:pPr>
            <w:r>
              <w:rPr/>
              <w:t> </w:t>
            </w:r>
          </w:p>
        </w:tc>
        <w:tc>
          <w:tcPr>
            <w:tcW w:w="273" w:type="dxa"/>
            <w:tcBorders/>
            <w:vAlign w:val="center"/>
          </w:tcPr>
          <w:p>
            <w:pPr>
              <w:pStyle w:val="TableContents"/>
              <w:bidi w:val="0"/>
              <w:spacing w:before="0" w:after="283"/>
              <w:jc w:val="left"/>
              <w:rPr/>
            </w:pPr>
            <w:r>
              <w:rPr/>
              <w:t> </w:t>
            </w:r>
            <w:bookmarkStart w:id="348" w:name="xdx_984_eus-gaap--LineOfCreditFacilityCu"/>
            <w:bookmarkEnd w:id="348"/>
          </w:p>
        </w:tc>
        <w:tc>
          <w:tcPr>
            <w:tcW w:w="1238" w:type="dxa"/>
            <w:tcBorders/>
            <w:vAlign w:val="center"/>
          </w:tcPr>
          <w:p>
            <w:pPr>
              <w:pStyle w:val="TableContents"/>
              <w:bidi w:val="0"/>
              <w:spacing w:before="0" w:after="283"/>
              <w:jc w:val="right"/>
              <w:rPr>
                <w:sz w:val="20"/>
              </w:rPr>
            </w:pPr>
            <w:r>
              <w:rPr>
                <w:sz w:val="20"/>
              </w:rPr>
              <w:t>10,000</w:t>
            </w:r>
          </w:p>
        </w:tc>
        <w:tc>
          <w:tcPr>
            <w:tcW w:w="71"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358" w:type="dxa"/>
            <w:tcBorders/>
            <w:vAlign w:val="center"/>
          </w:tcPr>
          <w:p>
            <w:pPr>
              <w:pStyle w:val="TableContents"/>
              <w:bidi w:val="0"/>
              <w:spacing w:before="0" w:after="283"/>
              <w:jc w:val="left"/>
              <w:rPr/>
            </w:pPr>
            <w:r>
              <w:rPr/>
              <w:t> </w:t>
            </w:r>
            <w:bookmarkStart w:id="349" w:name="xdx_98C_eus-gaap--LineOfCredit_iI_c20251"/>
            <w:bookmarkEnd w:id="349"/>
          </w:p>
        </w:tc>
        <w:tc>
          <w:tcPr>
            <w:tcW w:w="1392" w:type="dxa"/>
            <w:tcBorders/>
            <w:vAlign w:val="center"/>
          </w:tcPr>
          <w:p>
            <w:pPr>
              <w:pStyle w:val="TableContents"/>
              <w:bidi w:val="0"/>
              <w:spacing w:before="0" w:after="283"/>
              <w:jc w:val="right"/>
              <w:rPr>
                <w:sz w:val="20"/>
              </w:rPr>
            </w:pPr>
            <w:r>
              <w:rPr>
                <w:sz w:val="20"/>
              </w:rPr>
              <w:t>9,500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4" w:type="dxa"/>
            <w:tcBorders/>
            <w:vAlign w:val="center"/>
          </w:tcPr>
          <w:p>
            <w:pPr>
              <w:pStyle w:val="TableContents"/>
              <w:bidi w:val="0"/>
              <w:spacing w:before="0" w:after="283"/>
              <w:jc w:val="left"/>
              <w:rPr/>
            </w:pPr>
            <w:r>
              <w:rPr/>
              <w:t> </w:t>
            </w:r>
            <w:bookmarkStart w:id="350" w:name="xdx_98B_eus-gaap--LineOfCreditFacilityCu"/>
            <w:bookmarkEnd w:id="350"/>
          </w:p>
        </w:tc>
        <w:tc>
          <w:tcPr>
            <w:tcW w:w="1117" w:type="dxa"/>
            <w:tcBorders/>
            <w:vAlign w:val="center"/>
          </w:tcPr>
          <w:p>
            <w:pPr>
              <w:pStyle w:val="TableContents"/>
              <w:bidi w:val="0"/>
              <w:spacing w:before="0" w:after="283"/>
              <w:jc w:val="right"/>
              <w:rPr>
                <w:sz w:val="20"/>
              </w:rPr>
            </w:pPr>
            <w:r>
              <w:rPr>
                <w:sz w:val="20"/>
              </w:rPr>
              <w:t>5,200</w:t>
            </w:r>
          </w:p>
        </w:tc>
        <w:tc>
          <w:tcPr>
            <w:tcW w:w="71"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386" w:type="dxa"/>
            <w:tcBorders/>
            <w:vAlign w:val="center"/>
          </w:tcPr>
          <w:p>
            <w:pPr>
              <w:pStyle w:val="TableContents"/>
              <w:bidi w:val="0"/>
              <w:spacing w:before="0" w:after="283"/>
              <w:jc w:val="left"/>
              <w:rPr/>
            </w:pPr>
            <w:r>
              <w:rPr/>
              <w:t> </w:t>
            </w:r>
            <w:bookmarkStart w:id="351" w:name="xdx_985_eus-gaap--LineOfCredit_iI_c20241"/>
            <w:bookmarkEnd w:id="351"/>
          </w:p>
        </w:tc>
        <w:tc>
          <w:tcPr>
            <w:tcW w:w="1363" w:type="dxa"/>
            <w:tcBorders/>
            <w:vAlign w:val="center"/>
          </w:tcPr>
          <w:p>
            <w:pPr>
              <w:pStyle w:val="TableContents"/>
              <w:bidi w:val="0"/>
              <w:spacing w:before="0" w:after="283"/>
              <w:jc w:val="right"/>
              <w:rPr>
                <w:sz w:val="20"/>
              </w:rPr>
            </w:pPr>
            <w:r>
              <w:rPr>
                <w:sz w:val="20"/>
              </w:rPr>
              <w:t>4,000</w:t>
            </w:r>
          </w:p>
        </w:tc>
        <w:tc>
          <w:tcPr>
            <w:tcW w:w="82" w:type="dxa"/>
            <w:tcBorders/>
            <w:vAlign w:val="center"/>
          </w:tcPr>
          <w:p>
            <w:pPr>
              <w:pStyle w:val="TableContents"/>
              <w:bidi w:val="0"/>
              <w:spacing w:before="0" w:after="283"/>
              <w:jc w:val="left"/>
              <w:rPr/>
            </w:pPr>
            <w:r>
              <w:rPr/>
              <w:t> </w:t>
            </w:r>
          </w:p>
        </w:tc>
      </w:tr>
      <w:tr>
        <w:trPr/>
        <w:tc>
          <w:tcPr>
            <w:tcW w:w="1603" w:type="dxa"/>
            <w:tcBorders/>
            <w:shd w:fill="CCEEFF" w:val="clear"/>
            <w:vAlign w:val="center"/>
          </w:tcPr>
          <w:p>
            <w:pPr>
              <w:pStyle w:val="TableContents"/>
              <w:bidi w:val="0"/>
              <w:spacing w:before="0" w:after="283"/>
              <w:jc w:val="left"/>
              <w:rPr>
                <w:sz w:val="20"/>
              </w:rPr>
            </w:pPr>
            <w:r>
              <w:rPr>
                <w:sz w:val="20"/>
              </w:rPr>
              <w:t xml:space="preserve">Strandler, LLC </w:t>
            </w:r>
            <w:r>
              <w:rPr>
                <w:position w:val="7"/>
                <w:sz w:val="16"/>
                <w:sz w:val="20"/>
              </w:rPr>
              <w:t xml:space="preserve">(5) </w:t>
            </w:r>
          </w:p>
        </w:tc>
        <w:tc>
          <w:tcPr>
            <w:tcW w:w="60" w:type="dxa"/>
            <w:tcBorders/>
            <w:shd w:fill="CCEEFF" w:val="clear"/>
            <w:vAlign w:val="center"/>
          </w:tcPr>
          <w:p>
            <w:pPr>
              <w:pStyle w:val="TableContents"/>
              <w:bidi w:val="0"/>
              <w:spacing w:before="0" w:after="283"/>
              <w:jc w:val="left"/>
              <w:rPr/>
            </w:pPr>
            <w:r>
              <w:rPr/>
              <w:t> </w:t>
            </w:r>
            <w:bookmarkStart w:id="352" w:name="xdx_98E_eus-gaap--RelatedPartyTransactio"/>
            <w:bookmarkEnd w:id="352"/>
          </w:p>
        </w:tc>
        <w:tc>
          <w:tcPr>
            <w:tcW w:w="1475" w:type="dxa"/>
            <w:tcBorders/>
            <w:shd w:fill="CCEEFF" w:val="clear"/>
            <w:vAlign w:val="center"/>
          </w:tcPr>
          <w:p>
            <w:pPr>
              <w:pStyle w:val="TableContents"/>
              <w:bidi w:val="0"/>
              <w:spacing w:before="0" w:after="283"/>
              <w:jc w:val="center"/>
              <w:rPr>
                <w:sz w:val="20"/>
              </w:rPr>
            </w:pPr>
            <w:r>
              <w:rPr>
                <w:sz w:val="20"/>
              </w:rPr>
              <w:t>7.50%</w:t>
            </w:r>
          </w:p>
        </w:tc>
        <w:tc>
          <w:tcPr>
            <w:tcW w:w="6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pPr>
            <w:r>
              <w:rPr/>
              <w:t> </w:t>
            </w:r>
            <w:bookmarkStart w:id="353" w:name="xdx_983_eus-gaap--LineOfCreditFacilityCu"/>
            <w:bookmarkEnd w:id="353"/>
          </w:p>
        </w:tc>
        <w:tc>
          <w:tcPr>
            <w:tcW w:w="1238" w:type="dxa"/>
            <w:tcBorders/>
            <w:shd w:fill="CCEEFF" w:val="clear"/>
            <w:vAlign w:val="center"/>
          </w:tcPr>
          <w:p>
            <w:pPr>
              <w:pStyle w:val="TableContents"/>
              <w:bidi w:val="0"/>
              <w:spacing w:before="0" w:after="283"/>
              <w:jc w:val="right"/>
              <w:rPr>
                <w:sz w:val="20"/>
              </w:rPr>
            </w:pPr>
            <w:r>
              <w:rPr>
                <w:sz w:val="20"/>
              </w:rPr>
              <w:t>1,000</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358" w:type="dxa"/>
            <w:tcBorders/>
            <w:shd w:fill="CCEEFF" w:val="clear"/>
            <w:vAlign w:val="center"/>
          </w:tcPr>
          <w:p>
            <w:pPr>
              <w:pStyle w:val="TableContents"/>
              <w:bidi w:val="0"/>
              <w:spacing w:before="0" w:after="283"/>
              <w:jc w:val="left"/>
              <w:rPr/>
            </w:pPr>
            <w:r>
              <w:rPr/>
              <w:t> </w:t>
            </w:r>
            <w:bookmarkStart w:id="354" w:name="xdx_98E_eus-gaap--LineOfCredit_iI_c20251"/>
            <w:bookmarkEnd w:id="354"/>
          </w:p>
        </w:tc>
        <w:tc>
          <w:tcPr>
            <w:tcW w:w="1392" w:type="dxa"/>
            <w:tcBorders/>
            <w:shd w:fill="CCEEFF" w:val="clear"/>
            <w:vAlign w:val="center"/>
          </w:tcPr>
          <w:p>
            <w:pPr>
              <w:pStyle w:val="TableContents"/>
              <w:bidi w:val="0"/>
              <w:spacing w:before="0" w:after="283"/>
              <w:jc w:val="right"/>
              <w:rPr>
                <w:sz w:val="20"/>
              </w:rPr>
            </w:pPr>
            <w:r>
              <w:rPr>
                <w:sz w:val="20"/>
              </w:rPr>
              <w:t>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4" w:type="dxa"/>
            <w:tcBorders/>
            <w:shd w:fill="CCEEFF" w:val="clear"/>
            <w:vAlign w:val="center"/>
          </w:tcPr>
          <w:p>
            <w:pPr>
              <w:pStyle w:val="TableContents"/>
              <w:bidi w:val="0"/>
              <w:spacing w:before="0" w:after="283"/>
              <w:jc w:val="left"/>
              <w:rPr/>
            </w:pPr>
            <w:r>
              <w:rPr/>
              <w:t> </w:t>
            </w:r>
            <w:bookmarkStart w:id="355" w:name="xdx_98C_eus-gaap--LineOfCreditFacilityCu"/>
            <w:bookmarkEnd w:id="355"/>
          </w:p>
        </w:tc>
        <w:tc>
          <w:tcPr>
            <w:tcW w:w="1117" w:type="dxa"/>
            <w:tcBorders/>
            <w:shd w:fill="CCEEFF" w:val="clear"/>
            <w:vAlign w:val="center"/>
          </w:tcPr>
          <w:p>
            <w:pPr>
              <w:pStyle w:val="TableContents"/>
              <w:bidi w:val="0"/>
              <w:spacing w:before="0" w:after="283"/>
              <w:jc w:val="right"/>
              <w:rPr>
                <w:sz w:val="20"/>
              </w:rPr>
            </w:pPr>
            <w:r>
              <w:rPr>
                <w:sz w:val="20"/>
              </w:rPr>
              <w:t>1,000</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386" w:type="dxa"/>
            <w:tcBorders/>
            <w:shd w:fill="CCEEFF" w:val="clear"/>
            <w:vAlign w:val="center"/>
          </w:tcPr>
          <w:p>
            <w:pPr>
              <w:pStyle w:val="TableContents"/>
              <w:bidi w:val="0"/>
              <w:spacing w:before="0" w:after="283"/>
              <w:jc w:val="left"/>
              <w:rPr/>
            </w:pPr>
            <w:r>
              <w:rPr/>
              <w:t> </w:t>
            </w:r>
            <w:bookmarkStart w:id="356" w:name="xdx_98C_eus-gaap--LineOfCredit_iI_c20241"/>
            <w:bookmarkEnd w:id="356"/>
          </w:p>
        </w:tc>
        <w:tc>
          <w:tcPr>
            <w:tcW w:w="1363" w:type="dxa"/>
            <w:tcBorders/>
            <w:shd w:fill="CCEEFF" w:val="clear"/>
            <w:vAlign w:val="center"/>
          </w:tcPr>
          <w:p>
            <w:pPr>
              <w:pStyle w:val="TableContents"/>
              <w:bidi w:val="0"/>
              <w:spacing w:before="0" w:after="283"/>
              <w:jc w:val="right"/>
              <w:rPr>
                <w:sz w:val="20"/>
              </w:rPr>
            </w:pPr>
            <w:r>
              <w:rPr>
                <w:sz w:val="20"/>
              </w:rPr>
              <w:t>1,000</w:t>
            </w:r>
          </w:p>
        </w:tc>
        <w:tc>
          <w:tcPr>
            <w:tcW w:w="82" w:type="dxa"/>
            <w:tcBorders/>
            <w:shd w:fill="CCEE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54"/>
        <w:gridCol w:w="10013"/>
      </w:tblGrid>
      <w:tr>
        <w:trPr/>
        <w:tc>
          <w:tcPr>
            <w:tcW w:w="38" w:type="dxa"/>
            <w:tcBorders/>
            <w:vAlign w:val="center"/>
          </w:tcPr>
          <w:p>
            <w:pPr>
              <w:pStyle w:val="TableContents"/>
              <w:bidi w:val="0"/>
              <w:spacing w:before="0" w:after="283"/>
              <w:jc w:val="left"/>
              <w:rPr>
                <w:sz w:val="4"/>
                <w:szCs w:val="4"/>
              </w:rPr>
            </w:pPr>
            <w:r>
              <w:rPr>
                <w:sz w:val="4"/>
                <w:szCs w:val="4"/>
              </w:rPr>
            </w:r>
            <w:bookmarkStart w:id="357" w:name="xdx_F09_zYzZWJHbQZwl"/>
            <w:bookmarkStart w:id="358" w:name="xdx_F09_zYzZWJHbQZwl"/>
            <w:bookmarkEnd w:id="358"/>
          </w:p>
        </w:tc>
        <w:tc>
          <w:tcPr>
            <w:tcW w:w="154" w:type="dxa"/>
            <w:tcBorders/>
            <w:vAlign w:val="center"/>
          </w:tcPr>
          <w:p>
            <w:pPr>
              <w:pStyle w:val="TableContents"/>
              <w:bidi w:val="0"/>
              <w:spacing w:before="0" w:after="283"/>
              <w:jc w:val="left"/>
              <w:rPr/>
            </w:pPr>
            <w:r>
              <w:rPr/>
              <w:t>1)</w:t>
            </w:r>
            <w:bookmarkStart w:id="359" w:name="xdx_F1B_zSwLklVUgVDj"/>
            <w:bookmarkEnd w:id="359"/>
          </w:p>
        </w:tc>
        <w:tc>
          <w:tcPr>
            <w:tcW w:w="10013" w:type="dxa"/>
            <w:tcBorders/>
            <w:vAlign w:val="center"/>
          </w:tcPr>
          <w:p>
            <w:pPr>
              <w:pStyle w:val="TableContents"/>
              <w:bidi w:val="0"/>
              <w:spacing w:before="0" w:after="283"/>
              <w:jc w:val="both"/>
              <w:rPr/>
            </w:pPr>
            <w:r>
              <w:rPr/>
              <w:t>Since July 2014, we have maintained a bank-issued letter of credit for up to $</w:t>
            </w:r>
            <w:bookmarkStart w:id="360" w:name="xdx_90F_eus-gaap--LineOfCreditFacilityMa"/>
            <w:bookmarkEnd w:id="360"/>
            <w:r>
              <w:rPr/>
              <w:t xml:space="preserve">30 in borrowings, with interest at the </w:t>
            </w:r>
            <w:bookmarkStart w:id="361" w:name="xdx_90C_eus-gaap--DebtInstrumentDescript"/>
            <w:bookmarkEnd w:id="361"/>
            <w:r>
              <w:rPr/>
              <w:t xml:space="preserve">prime rate plus </w:t>
            </w:r>
            <w:bookmarkStart w:id="362" w:name="xdx_901_eus-gaap--DebtInstrumentBasisSpr"/>
            <w:bookmarkEnd w:id="362"/>
            <w:r>
              <w:rPr/>
              <w:t>1%, to support our obligations under our Romeoville, Illinois facility lease agreement. No borrowings have been incurred under this promissory note. It is our intention to renew this note annually. Because there were no amounts outstanding on the note at any time during 2025 or 2024, we have recorded no related liability on our condensed consolidated balance sheet.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2"/>
        <w:gridCol w:w="10015"/>
      </w:tblGrid>
      <w:tr>
        <w:trPr/>
        <w:tc>
          <w:tcPr>
            <w:tcW w:w="38" w:type="dxa"/>
            <w:tcBorders/>
            <w:vAlign w:val="center"/>
          </w:tcPr>
          <w:p>
            <w:pPr>
              <w:pStyle w:val="TableContents"/>
              <w:bidi w:val="0"/>
              <w:spacing w:before="0" w:after="283"/>
              <w:jc w:val="left"/>
              <w:rPr>
                <w:sz w:val="4"/>
                <w:szCs w:val="4"/>
              </w:rPr>
            </w:pPr>
            <w:r>
              <w:rPr>
                <w:sz w:val="4"/>
                <w:szCs w:val="4"/>
              </w:rPr>
            </w:r>
            <w:bookmarkStart w:id="363" w:name="xdx_F03_zb6kBihsiqu4"/>
            <w:bookmarkStart w:id="364" w:name="xdx_F03_zb6kBihsiqu4"/>
            <w:bookmarkEnd w:id="364"/>
          </w:p>
        </w:tc>
        <w:tc>
          <w:tcPr>
            <w:tcW w:w="152" w:type="dxa"/>
            <w:tcBorders/>
            <w:vAlign w:val="center"/>
          </w:tcPr>
          <w:p>
            <w:pPr>
              <w:pStyle w:val="TableContents"/>
              <w:bidi w:val="0"/>
              <w:spacing w:before="0" w:after="283"/>
              <w:jc w:val="left"/>
              <w:rPr/>
            </w:pPr>
            <w:r>
              <w:rPr/>
              <w:t>2)</w:t>
            </w:r>
            <w:bookmarkStart w:id="365" w:name="xdx_F14_zow1AeyhHvd3"/>
            <w:bookmarkEnd w:id="365"/>
          </w:p>
        </w:tc>
        <w:tc>
          <w:tcPr>
            <w:tcW w:w="10015" w:type="dxa"/>
            <w:tcBorders/>
            <w:vAlign w:val="center"/>
          </w:tcPr>
          <w:p>
            <w:pPr>
              <w:pStyle w:val="TableContents"/>
              <w:bidi w:val="0"/>
              <w:spacing w:before="0" w:after="283"/>
              <w:jc w:val="both"/>
              <w:rPr/>
            </w:pPr>
            <w:r>
              <w:rPr/>
              <w:t xml:space="preserve">On December 21, 2021, the existing credit agreement with Libertyville was converted for use to support our obligations under our newly leased manufacturing and warehouse space in Bolingbrook, Illinois. Interest on drawn balances will be at the </w:t>
            </w:r>
            <w:bookmarkStart w:id="366" w:name="xdx_906_eus-gaap--DebtInstrumentDescript"/>
            <w:bookmarkEnd w:id="366"/>
            <w:r>
              <w:rPr/>
              <w:t xml:space="preserve">prime rate plus </w:t>
            </w:r>
            <w:bookmarkStart w:id="367" w:name="xdx_903_eus-gaap--DebtInstrumentBasisSpr"/>
            <w:bookmarkEnd w:id="367"/>
            <w:r>
              <w:rPr/>
              <w:t xml:space="preserve">1%. This credit agreement has a maturity of </w:t>
            </w:r>
            <w:bookmarkStart w:id="368" w:name="xdx_90C_eus-gaap--DebtInstrumentMaturity"/>
            <w:bookmarkEnd w:id="368"/>
            <w:r>
              <w:rPr/>
              <w:t>December 22, 2026. We expect to renew this agreement annually, as the lease requires. This credit agreement is secured by all the unencumbered assets of the Company and has superior collateral rights to those credit facilities with Beachcorp, LLC and Strandler, LLC.</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7"/>
        <w:gridCol w:w="10020"/>
      </w:tblGrid>
      <w:tr>
        <w:trPr/>
        <w:tc>
          <w:tcPr>
            <w:tcW w:w="38" w:type="dxa"/>
            <w:tcBorders/>
            <w:vAlign w:val="center"/>
          </w:tcPr>
          <w:p>
            <w:pPr>
              <w:pStyle w:val="TableContents"/>
              <w:bidi w:val="0"/>
              <w:spacing w:before="0" w:after="283"/>
              <w:jc w:val="left"/>
              <w:rPr>
                <w:sz w:val="4"/>
                <w:szCs w:val="4"/>
              </w:rPr>
            </w:pPr>
            <w:r>
              <w:rPr>
                <w:sz w:val="4"/>
                <w:szCs w:val="4"/>
              </w:rPr>
            </w:r>
            <w:bookmarkStart w:id="369" w:name="xdx_F03_znlygLmsIw24"/>
            <w:bookmarkStart w:id="370" w:name="xdx_F03_znlygLmsIw24"/>
            <w:bookmarkEnd w:id="370"/>
          </w:p>
        </w:tc>
        <w:tc>
          <w:tcPr>
            <w:tcW w:w="147" w:type="dxa"/>
            <w:tcBorders/>
            <w:vAlign w:val="center"/>
          </w:tcPr>
          <w:p>
            <w:pPr>
              <w:pStyle w:val="TableContents"/>
              <w:bidi w:val="0"/>
              <w:spacing w:before="0" w:after="283"/>
              <w:jc w:val="left"/>
              <w:rPr/>
            </w:pPr>
            <w:r>
              <w:rPr/>
              <w:t>3)</w:t>
            </w:r>
            <w:bookmarkStart w:id="371" w:name="xdx_F16_zbPXiZt6rVn9"/>
            <w:bookmarkEnd w:id="371"/>
          </w:p>
        </w:tc>
        <w:tc>
          <w:tcPr>
            <w:tcW w:w="10020" w:type="dxa"/>
            <w:tcBorders/>
            <w:vAlign w:val="center"/>
          </w:tcPr>
          <w:p>
            <w:pPr>
              <w:pStyle w:val="TableContents"/>
              <w:bidi w:val="0"/>
              <w:spacing w:before="0" w:after="283"/>
              <w:jc w:val="both"/>
              <w:rPr/>
            </w:pPr>
            <w:r>
              <w:rPr/>
              <w:t>On January 28, 2022, the Company entered into an Amended and Restated Business Loan Agreement (the “A&amp;R Loan Agreement”), with Beachcorp, LLC, and a new promissory note in order to evidence the A/R Revolver facility, including an amendment to expand the limit on the A/R Revolver Facility from $</w:t>
            </w:r>
            <w:bookmarkStart w:id="372" w:name="xdx_908_eus-gaap--LineOfCreditFacilityMa"/>
            <w:bookmarkEnd w:id="372"/>
            <w:r>
              <w:rPr/>
              <w:t>6,000 to $</w:t>
            </w:r>
            <w:bookmarkStart w:id="373" w:name="xdx_904_eus-gaap--LineOfCreditFacilityMa"/>
            <w:bookmarkEnd w:id="373"/>
            <w:r>
              <w:rPr/>
              <w:t xml:space="preserve">8,000, reduce the interest rate to the </w:t>
            </w:r>
            <w:bookmarkStart w:id="374" w:name="xdx_90D_eus-gaap--DebtInstrumentDescript"/>
            <w:bookmarkEnd w:id="374"/>
            <w:r>
              <w:rPr/>
              <w:t xml:space="preserve">prime rate plus </w:t>
            </w:r>
            <w:bookmarkStart w:id="375" w:name="xdx_903_eus-gaap--DebtInstrumentBasisSpr"/>
            <w:bookmarkEnd w:id="375"/>
            <w:r>
              <w:rPr/>
              <w:t xml:space="preserve">0.75%, and extend the maturity of the A/R Revolver Facility to </w:t>
            </w:r>
            <w:bookmarkStart w:id="376" w:name="xdx_90E_eus-gaap--LineOfCreditFacilityEx"/>
            <w:bookmarkEnd w:id="376"/>
            <w:r>
              <w:rPr/>
              <w:t xml:space="preserve">March 31, 2024. On March 1, 2024, the Company entered into a Second Amendment to the Amended and Restated Business Loan Agreement extending the maturity of the A/R Revolver Facility to </w:t>
            </w:r>
            <w:bookmarkStart w:id="377" w:name="xdx_906_eus-gaap--LineOfCreditFacilityEx"/>
            <w:bookmarkEnd w:id="377"/>
            <w:r>
              <w:rPr/>
              <w:t>October 1, 2025. On May 27, 2025, the Company entered into a Third Amendment to the Amended and Restated Business Loan Agreement to expand the limit on the A/R Revolver Facility from $</w:t>
            </w:r>
            <w:bookmarkStart w:id="378" w:name="xdx_900_eus-gaap--LineOfCreditFacilityMa"/>
            <w:bookmarkEnd w:id="378"/>
            <w:r>
              <w:rPr/>
              <w:t>8,000 to $</w:t>
            </w:r>
            <w:bookmarkStart w:id="379" w:name="xdx_900_eus-gaap--LineOfCreditFacilityMa"/>
            <w:bookmarkEnd w:id="379"/>
            <w:r>
              <w:rPr/>
              <w:t xml:space="preserve">12,000 and extend its maturity to </w:t>
            </w:r>
            <w:bookmarkStart w:id="380" w:name="xdx_908_eus-gaap--LineOfCreditFacilityEx"/>
            <w:bookmarkEnd w:id="380"/>
            <w:r>
              <w:rPr/>
              <w:t>April 30, 2027.</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F-12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4"/>
        <w:gridCol w:w="10023"/>
      </w:tblGrid>
      <w:tr>
        <w:trPr/>
        <w:tc>
          <w:tcPr>
            <w:tcW w:w="38" w:type="dxa"/>
            <w:tcBorders/>
            <w:vAlign w:val="center"/>
          </w:tcPr>
          <w:p>
            <w:pPr>
              <w:pStyle w:val="TableContents"/>
              <w:bidi w:val="0"/>
              <w:spacing w:before="0" w:after="283"/>
              <w:jc w:val="left"/>
              <w:rPr>
                <w:sz w:val="4"/>
                <w:szCs w:val="4"/>
              </w:rPr>
            </w:pPr>
            <w:r>
              <w:rPr>
                <w:sz w:val="4"/>
                <w:szCs w:val="4"/>
              </w:rPr>
            </w:r>
            <w:bookmarkStart w:id="381" w:name="xdx_F07_zgAWAk4uJHe3"/>
            <w:bookmarkStart w:id="382" w:name="xdx_F07_zgAWAk4uJHe3"/>
            <w:bookmarkEnd w:id="382"/>
          </w:p>
        </w:tc>
        <w:tc>
          <w:tcPr>
            <w:tcW w:w="144" w:type="dxa"/>
            <w:tcBorders/>
            <w:vAlign w:val="center"/>
          </w:tcPr>
          <w:p>
            <w:pPr>
              <w:pStyle w:val="TableContents"/>
              <w:bidi w:val="0"/>
              <w:spacing w:before="0" w:after="283"/>
              <w:jc w:val="left"/>
              <w:rPr/>
            </w:pPr>
            <w:r>
              <w:rPr/>
              <w:t>4)</w:t>
            </w:r>
            <w:bookmarkStart w:id="383" w:name="xdx_F1F_zOtILR3hblWa"/>
            <w:bookmarkEnd w:id="383"/>
          </w:p>
        </w:tc>
        <w:tc>
          <w:tcPr>
            <w:tcW w:w="10023" w:type="dxa"/>
            <w:tcBorders/>
            <w:vAlign w:val="center"/>
          </w:tcPr>
          <w:p>
            <w:pPr>
              <w:pStyle w:val="TableContents"/>
              <w:bidi w:val="0"/>
              <w:spacing w:before="0" w:after="283"/>
              <w:jc w:val="both"/>
              <w:rPr/>
            </w:pPr>
            <w:r>
              <w:rPr/>
              <w:t>On January 28, 2022, the Company entered into the A&amp;R Loan Agreement and a new revolving loan agreement (“Inventory Facility”) with Beachcorp, LLC, and a new promissory note in order to evidence the Inventory Facility. The maximum borrowing amount under the Inventory Facility was $</w:t>
            </w:r>
            <w:bookmarkStart w:id="384" w:name="xdx_90B_eus-gaap--LineOfCreditFacilityMa"/>
            <w:bookmarkEnd w:id="384"/>
            <w:r>
              <w:rPr/>
              <w:t xml:space="preserve">4,000, with a borrowing base consisting of up to </w:t>
            </w:r>
            <w:bookmarkStart w:id="385" w:name="xdx_90B_ecustom--LineOfCreditPercentageO"/>
            <w:bookmarkEnd w:id="385"/>
            <w:r>
              <w:rPr/>
              <w:t xml:space="preserve">50% of the value of qualified inventory of the Company. The interest rate for the Inventory Revolver is at the </w:t>
            </w:r>
            <w:bookmarkStart w:id="386" w:name="xdx_901_eus-gaap--DebtInstrumentDescript"/>
            <w:bookmarkEnd w:id="386"/>
            <w:r>
              <w:rPr/>
              <w:t xml:space="preserve">prime rate plus </w:t>
            </w:r>
            <w:bookmarkStart w:id="387" w:name="xdx_903_eus-gaap--DebtInstrumentBasisSpr"/>
            <w:bookmarkEnd w:id="387"/>
            <w:r>
              <w:rPr/>
              <w:t xml:space="preserve">0.75%, and it was set to mature on </w:t>
            </w:r>
            <w:bookmarkStart w:id="388" w:name="xdx_902_eus-gaap--LineOfCreditFacilityEx"/>
            <w:bookmarkEnd w:id="388"/>
            <w:r>
              <w:rPr/>
              <w:t>March 31, 2024. On November 13, 2023, the Company entered into a Replacement Promissory Note with Beachcorp, LLC replacing the Inventory Facility promissory note executed on January 28, 2022. The maximum borrowing amount under the replacement Inventory Facility was increased to $</w:t>
            </w:r>
            <w:bookmarkStart w:id="389" w:name="xdx_90D_eus-gaap--LineOfCreditFacilityMa"/>
            <w:bookmarkEnd w:id="389"/>
            <w:r>
              <w:rPr/>
              <w:t xml:space="preserve">5,200, with a borrowing base consisting of up to </w:t>
            </w:r>
            <w:bookmarkStart w:id="390" w:name="xdx_907_ecustom--LineOfCreditPercentageO"/>
            <w:bookmarkEnd w:id="390"/>
            <w:r>
              <w:rPr/>
              <w:t xml:space="preserve">55% of the value of qualified inventory of the Company. The interest rate for the replacement Inventory Revolver remains at the </w:t>
            </w:r>
            <w:bookmarkStart w:id="391" w:name="xdx_905_eus-gaap--DebtInstrumentDescript"/>
            <w:bookmarkEnd w:id="391"/>
            <w:r>
              <w:rPr/>
              <w:t xml:space="preserve">prime rate plus </w:t>
            </w:r>
            <w:bookmarkStart w:id="392" w:name="xdx_905_eus-gaap--DebtInstrumentBasisSpr"/>
            <w:bookmarkEnd w:id="392"/>
            <w:r>
              <w:rPr/>
              <w:t xml:space="preserve">0.75%. On March 1, 2024, the company entered into a Second Amendment to the Business Loan Agreement extending the maturity of the Inventory Revolver Facility to </w:t>
            </w:r>
            <w:bookmarkStart w:id="393" w:name="xdx_902_eus-gaap--LineOfCreditFacilityEx"/>
            <w:bookmarkEnd w:id="393"/>
            <w:r>
              <w:rPr/>
              <w:t>October 1, 2025. On May 27, 2025, the Company entered into a Third Amendment to the Business Loan Agreement to expand the limit on the Inventory Revolver Facility from $</w:t>
            </w:r>
            <w:bookmarkStart w:id="394" w:name="xdx_904_eus-gaap--LineOfCreditFacilityMa"/>
            <w:bookmarkEnd w:id="394"/>
            <w:r>
              <w:rPr/>
              <w:t>5,200 to $</w:t>
            </w:r>
            <w:bookmarkStart w:id="395" w:name="xdx_90A_eus-gaap--LineOfCreditFacilityMa"/>
            <w:bookmarkEnd w:id="395"/>
            <w:r>
              <w:rPr/>
              <w:t xml:space="preserve">10,000 and extend its maturity to </w:t>
            </w:r>
            <w:bookmarkStart w:id="396" w:name="xdx_90A_eus-gaap--LineOfCreditFacilityEx"/>
            <w:bookmarkEnd w:id="396"/>
            <w:r>
              <w:rPr/>
              <w:t>April 30, 2027.</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0"/>
        <w:gridCol w:w="10017"/>
      </w:tblGrid>
      <w:tr>
        <w:trPr/>
        <w:tc>
          <w:tcPr>
            <w:tcW w:w="38" w:type="dxa"/>
            <w:tcBorders/>
            <w:vAlign w:val="center"/>
          </w:tcPr>
          <w:p>
            <w:pPr>
              <w:pStyle w:val="TableContents"/>
              <w:bidi w:val="0"/>
              <w:spacing w:before="0" w:after="283"/>
              <w:jc w:val="left"/>
              <w:rPr>
                <w:sz w:val="4"/>
                <w:szCs w:val="4"/>
              </w:rPr>
            </w:pPr>
            <w:r>
              <w:rPr>
                <w:sz w:val="4"/>
                <w:szCs w:val="4"/>
              </w:rPr>
            </w:r>
            <w:bookmarkStart w:id="397" w:name="xdx_F05_zxsPkmR0rXha"/>
            <w:bookmarkStart w:id="398" w:name="xdx_F05_zxsPkmR0rXha"/>
            <w:bookmarkEnd w:id="398"/>
          </w:p>
        </w:tc>
        <w:tc>
          <w:tcPr>
            <w:tcW w:w="150" w:type="dxa"/>
            <w:tcBorders/>
            <w:vAlign w:val="center"/>
          </w:tcPr>
          <w:p>
            <w:pPr>
              <w:pStyle w:val="TableContents"/>
              <w:bidi w:val="0"/>
              <w:spacing w:before="0" w:after="283"/>
              <w:jc w:val="left"/>
              <w:rPr/>
            </w:pPr>
            <w:r>
              <w:rPr/>
              <w:t>5)</w:t>
            </w:r>
            <w:bookmarkStart w:id="399" w:name="xdx_F18_zhIMEHaQp8yl"/>
            <w:bookmarkEnd w:id="399"/>
          </w:p>
        </w:tc>
        <w:tc>
          <w:tcPr>
            <w:tcW w:w="10017" w:type="dxa"/>
            <w:tcBorders/>
            <w:vAlign w:val="center"/>
          </w:tcPr>
          <w:p>
            <w:pPr>
              <w:pStyle w:val="TableContents"/>
              <w:bidi w:val="0"/>
              <w:spacing w:before="0" w:after="283"/>
              <w:jc w:val="both"/>
              <w:rPr/>
            </w:pPr>
            <w:r>
              <w:rPr/>
              <w:t xml:space="preserve">On January 28, 2022, the Company entered into an additional Business Loan Agreement (the “New Term Loan Agreement”) with Strandler, LLC, which effectively transferred or assigned the Term Loan to Strandler, LLC from Beachcorp, LLC. Interest on the New Term Loan is at the </w:t>
            </w:r>
            <w:bookmarkStart w:id="400" w:name="xdx_905_eus-gaap--DebtInstrumentDescript"/>
            <w:bookmarkEnd w:id="400"/>
            <w:r>
              <w:rPr/>
              <w:t xml:space="preserve">prime rate plus </w:t>
            </w:r>
            <w:bookmarkStart w:id="401" w:name="xdx_909_eus-gaap--DebtInstrumentBasisSpr"/>
            <w:bookmarkEnd w:id="401"/>
            <w:r>
              <w:rPr/>
              <w:t xml:space="preserve">0.75%. Strandler, LLC is also an affiliate of Bradford T. Whitmore. On March 1, 2024, the company entered into a Second Amendment to the Business Loan Agreement extending the maturity of the Term Maturity Note to </w:t>
            </w:r>
            <w:bookmarkStart w:id="402" w:name="xdx_90A_eus-gaap--LineOfCreditFacilityEx"/>
            <w:bookmarkEnd w:id="402"/>
            <w:r>
              <w:rPr/>
              <w:t xml:space="preserve">October 1, 2025. On May 27, 2025, the Company entered into a Third Amendment to the Business Loan Agreement extending the maturity of the Term Maturity Note to </w:t>
            </w:r>
            <w:bookmarkStart w:id="403" w:name="xdx_907_eus-gaap--LineOfCreditFacilityEx"/>
            <w:bookmarkEnd w:id="403"/>
            <w:r>
              <w:rPr/>
              <w:t>April 30, 2027.</w:t>
            </w:r>
          </w:p>
        </w:tc>
      </w:tr>
    </w:tbl>
    <w:p>
      <w:pPr>
        <w:pStyle w:val="TextBody"/>
        <w:bidi w:val="0"/>
        <w:spacing w:before="0" w:after="0"/>
        <w:jc w:val="left"/>
        <w:rPr>
          <w:caps w:val="false"/>
          <w:smallCaps w:val="false"/>
        </w:rPr>
      </w:pPr>
      <w:bookmarkStart w:id="404" w:name="xdx_8AB_zHHp6dJklET2"/>
      <w:bookmarkEnd w:id="404"/>
      <w:r>
        <w:rPr>
          <w:caps w:val="false"/>
          <w:smallCaps w:val="false"/>
        </w:rPr>
        <w:t> </w:t>
      </w:r>
    </w:p>
    <w:p>
      <w:pPr>
        <w:pStyle w:val="TextBody"/>
        <w:bidi w:val="0"/>
        <w:spacing w:before="0" w:after="0"/>
        <w:ind w:left="90" w:right="0" w:firstLine="63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classifies the line of credit – accounts receivable as current because we are required to pay back the borrowings as cash is received from our customers. The Company’s remaining debt is presented within the condensed consolidated balance sheet as of December 31, 2025, and 2024, in accordance with the maturity dates in the financing agreements.</w:t>
      </w:r>
    </w:p>
    <w:p>
      <w:pPr>
        <w:pStyle w:val="TextBody"/>
        <w:bidi w:val="0"/>
        <w:spacing w:before="0" w:after="0"/>
        <w:ind w:left="90" w:right="0" w:firstLine="63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Beachcorp, LLC and Strandler, LLC are affiliates of Mr. Bradford T. Whitmore, who beneficially owns a majority of the Company’s common stock and is the brother of Ms. R. Janet Whitmore, a director of the Company and the chair of the Company’s board of directors. The A/R Revolver Facility, the Inventory Facility and the New Term Loan are all secured by all the unencumbered assets of the Company and subordinated to the Company’s credit facility with Libertyville Bank &amp; Trust.</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05" w:name="xdx_89B_eus-gaap--ScheduleOfRelatedParty"/>
      <w:bookmarkEnd w:id="405"/>
      <w:r>
        <w:rPr>
          <w:rFonts w:ascii="Times New Roman;Times;Serif" w:hAnsi="Times New Roman;Times;Serif"/>
          <w:b w:val="false"/>
          <w:i w:val="false"/>
          <w:caps w:val="false"/>
          <w:smallCaps w:val="false"/>
          <w:sz w:val="20"/>
        </w:rPr>
        <w:t>Related party interest expense consists of the following:</w:t>
      </w:r>
    </w:p>
    <w:p>
      <w:pPr>
        <w:pStyle w:val="TextBody"/>
        <w:bidi w:val="0"/>
        <w:spacing w:before="0" w:after="0"/>
        <w:ind w:left="0" w:right="0" w:hanging="0"/>
        <w:jc w:val="both"/>
        <w:rPr>
          <w:caps w:val="false"/>
          <w:smallCaps w:val="false"/>
        </w:rPr>
      </w:pPr>
      <w:r>
        <w:rPr>
          <w:caps w:val="false"/>
          <w:smallCaps w:val="false"/>
        </w:rPr>
        <w:t> </w:t>
      </w:r>
    </w:p>
    <w:tbl>
      <w:tblPr>
        <w:tblW w:w="4880" w:type="dxa"/>
        <w:jc w:val="left"/>
        <w:tblInd w:w="0" w:type="dxa"/>
        <w:tblLayout w:type="fixed"/>
        <w:tblCellMar>
          <w:top w:w="0" w:type="dxa"/>
          <w:left w:w="0" w:type="dxa"/>
          <w:bottom w:w="0" w:type="dxa"/>
          <w:right w:w="0" w:type="dxa"/>
        </w:tblCellMar>
      </w:tblPr>
      <w:tblGrid>
        <w:gridCol w:w="2570"/>
        <w:gridCol w:w="60"/>
        <w:gridCol w:w="228"/>
        <w:gridCol w:w="888"/>
        <w:gridCol w:w="109"/>
        <w:gridCol w:w="109"/>
        <w:gridCol w:w="228"/>
        <w:gridCol w:w="613"/>
        <w:gridCol w:w="75"/>
      </w:tblGrid>
      <w:tr>
        <w:trPr/>
        <w:tc>
          <w:tcPr>
            <w:tcW w:w="25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75"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Year ended December 31,</w:t>
            </w:r>
          </w:p>
        </w:tc>
        <w:tc>
          <w:tcPr>
            <w:tcW w:w="75" w:type="dxa"/>
            <w:tcBorders/>
            <w:vAlign w:val="center"/>
          </w:tcPr>
          <w:p>
            <w:pPr>
              <w:pStyle w:val="TableContents"/>
              <w:bidi w:val="0"/>
              <w:spacing w:before="0" w:after="283"/>
              <w:jc w:val="left"/>
              <w:rPr/>
            </w:pPr>
            <w:r>
              <w:rPr/>
              <w:t> </w:t>
            </w:r>
          </w:p>
        </w:tc>
      </w:tr>
      <w:tr>
        <w:trPr/>
        <w:tc>
          <w:tcPr>
            <w:tcW w:w="25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6"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109"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841"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2024</w:t>
            </w:r>
          </w:p>
        </w:tc>
        <w:tc>
          <w:tcPr>
            <w:tcW w:w="75" w:type="dxa"/>
            <w:tcBorders/>
            <w:vAlign w:val="center"/>
          </w:tcPr>
          <w:p>
            <w:pPr>
              <w:pStyle w:val="TableContents"/>
              <w:bidi w:val="0"/>
              <w:spacing w:before="0" w:after="283"/>
              <w:jc w:val="left"/>
              <w:rPr/>
            </w:pPr>
            <w:r>
              <w:rPr/>
              <w:t> </w:t>
            </w:r>
          </w:p>
        </w:tc>
      </w:tr>
      <w:tr>
        <w:trPr/>
        <w:tc>
          <w:tcPr>
            <w:tcW w:w="25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888" w:type="dxa"/>
            <w:tcBorders/>
            <w:vAlign w:val="center"/>
          </w:tcPr>
          <w:p>
            <w:pPr>
              <w:pStyle w:val="TableContents"/>
              <w:bidi w:val="0"/>
              <w:spacing w:before="0" w:after="283"/>
              <w:jc w:val="right"/>
              <w:rPr/>
            </w:pPr>
            <w:r>
              <w:rPr/>
              <w:t> </w:t>
            </w:r>
          </w:p>
        </w:tc>
        <w:tc>
          <w:tcPr>
            <w:tcW w:w="109"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613"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570" w:type="dxa"/>
            <w:tcBorders/>
            <w:shd w:fill="CCEEFF" w:val="clear"/>
            <w:vAlign w:val="center"/>
          </w:tcPr>
          <w:p>
            <w:pPr>
              <w:pStyle w:val="TableContents"/>
              <w:bidi w:val="0"/>
              <w:spacing w:before="0" w:after="283"/>
              <w:jc w:val="left"/>
              <w:rPr>
                <w:sz w:val="20"/>
              </w:rPr>
            </w:pPr>
            <w:r>
              <w:rPr>
                <w:sz w:val="20"/>
              </w:rPr>
              <w:t>Interest expense, related parties</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sz w:val="20"/>
              </w:rPr>
            </w:pPr>
            <w:r>
              <w:rPr>
                <w:sz w:val="20"/>
              </w:rPr>
              <w:t>$</w:t>
            </w:r>
            <w:bookmarkStart w:id="406" w:name="xdx_98E_eus-gaap--InterestExpense_c20250"/>
            <w:bookmarkEnd w:id="406"/>
          </w:p>
        </w:tc>
        <w:tc>
          <w:tcPr>
            <w:tcW w:w="888" w:type="dxa"/>
            <w:tcBorders/>
            <w:shd w:fill="CCEEFF" w:val="clear"/>
            <w:vAlign w:val="center"/>
          </w:tcPr>
          <w:p>
            <w:pPr>
              <w:pStyle w:val="TableContents"/>
              <w:bidi w:val="0"/>
              <w:spacing w:before="0" w:after="283"/>
              <w:jc w:val="right"/>
              <w:rPr>
                <w:sz w:val="20"/>
              </w:rPr>
            </w:pPr>
            <w:r>
              <w:rPr>
                <w:sz w:val="20"/>
              </w:rPr>
              <w:t>1,123</w:t>
            </w:r>
          </w:p>
        </w:tc>
        <w:tc>
          <w:tcPr>
            <w:tcW w:w="109"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sz w:val="20"/>
              </w:rPr>
            </w:pPr>
            <w:r>
              <w:rPr>
                <w:sz w:val="20"/>
              </w:rPr>
              <w:t>$</w:t>
            </w:r>
            <w:bookmarkStart w:id="407" w:name="xdx_989_eus-gaap--InterestExpense_c20240"/>
            <w:bookmarkEnd w:id="407"/>
          </w:p>
        </w:tc>
        <w:tc>
          <w:tcPr>
            <w:tcW w:w="613" w:type="dxa"/>
            <w:tcBorders/>
            <w:shd w:fill="CCEEFF" w:val="clear"/>
            <w:vAlign w:val="center"/>
          </w:tcPr>
          <w:p>
            <w:pPr>
              <w:pStyle w:val="TableContents"/>
              <w:bidi w:val="0"/>
              <w:spacing w:before="0" w:after="283"/>
              <w:jc w:val="right"/>
              <w:rPr>
                <w:sz w:val="20"/>
              </w:rPr>
            </w:pPr>
            <w:r>
              <w:rPr>
                <w:sz w:val="20"/>
              </w:rPr>
              <w:t>656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interest consists of the following:</w:t>
      </w:r>
    </w:p>
    <w:p>
      <w:pPr>
        <w:pStyle w:val="TextBody"/>
        <w:bidi w:val="0"/>
        <w:spacing w:before="0" w:after="0"/>
        <w:ind w:left="0" w:right="0" w:hanging="0"/>
        <w:jc w:val="both"/>
        <w:rPr>
          <w:caps w:val="false"/>
          <w:smallCaps w:val="false"/>
        </w:rPr>
      </w:pPr>
      <w:r>
        <w:rPr>
          <w:caps w:val="false"/>
          <w:smallCaps w:val="false"/>
        </w:rPr>
        <w:t> </w:t>
      </w:r>
    </w:p>
    <w:tbl>
      <w:tblPr>
        <w:tblW w:w="5063" w:type="dxa"/>
        <w:jc w:val="left"/>
        <w:tblInd w:w="0" w:type="dxa"/>
        <w:tblLayout w:type="fixed"/>
        <w:tblCellMar>
          <w:top w:w="0" w:type="dxa"/>
          <w:left w:w="0" w:type="dxa"/>
          <w:bottom w:w="0" w:type="dxa"/>
          <w:right w:w="0" w:type="dxa"/>
        </w:tblCellMar>
      </w:tblPr>
      <w:tblGrid>
        <w:gridCol w:w="3290"/>
        <w:gridCol w:w="60"/>
        <w:gridCol w:w="219"/>
        <w:gridCol w:w="587"/>
        <w:gridCol w:w="105"/>
        <w:gridCol w:w="105"/>
        <w:gridCol w:w="219"/>
        <w:gridCol w:w="403"/>
        <w:gridCol w:w="75"/>
      </w:tblGrid>
      <w:tr>
        <w:trPr/>
        <w:tc>
          <w:tcPr>
            <w:tcW w:w="3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8"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As of December 31,</w:t>
            </w:r>
          </w:p>
        </w:tc>
        <w:tc>
          <w:tcPr>
            <w:tcW w:w="75" w:type="dxa"/>
            <w:tcBorders/>
            <w:vAlign w:val="center"/>
          </w:tcPr>
          <w:p>
            <w:pPr>
              <w:pStyle w:val="TableContents"/>
              <w:bidi w:val="0"/>
              <w:spacing w:before="0" w:after="283"/>
              <w:jc w:val="left"/>
              <w:rPr/>
            </w:pPr>
            <w:r>
              <w:rPr/>
              <w:t> </w:t>
            </w:r>
          </w:p>
        </w:tc>
      </w:tr>
      <w:tr>
        <w:trPr/>
        <w:tc>
          <w:tcPr>
            <w:tcW w:w="3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6"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105"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622"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2024</w:t>
            </w:r>
          </w:p>
        </w:tc>
        <w:tc>
          <w:tcPr>
            <w:tcW w:w="75" w:type="dxa"/>
            <w:tcBorders/>
            <w:vAlign w:val="center"/>
          </w:tcPr>
          <w:p>
            <w:pPr>
              <w:pStyle w:val="TableContents"/>
              <w:bidi w:val="0"/>
              <w:spacing w:before="0" w:after="283"/>
              <w:jc w:val="left"/>
              <w:rPr/>
            </w:pPr>
            <w:r>
              <w:rPr/>
              <w:t> </w:t>
            </w:r>
          </w:p>
        </w:tc>
      </w:tr>
      <w:tr>
        <w:trPr/>
        <w:tc>
          <w:tcPr>
            <w:tcW w:w="3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587" w:type="dxa"/>
            <w:tcBorders/>
            <w:vAlign w:val="center"/>
          </w:tcPr>
          <w:p>
            <w:pPr>
              <w:pStyle w:val="TableContents"/>
              <w:bidi w:val="0"/>
              <w:spacing w:before="0" w:after="283"/>
              <w:jc w:val="right"/>
              <w:rPr/>
            </w:pPr>
            <w:r>
              <w:rPr/>
              <w:t> </w:t>
            </w:r>
          </w:p>
        </w:tc>
        <w:tc>
          <w:tcPr>
            <w:tcW w:w="105"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403"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283"/>
              <w:jc w:val="left"/>
              <w:rPr>
                <w:sz w:val="20"/>
              </w:rPr>
            </w:pPr>
            <w:r>
              <w:rPr>
                <w:sz w:val="20"/>
              </w:rPr>
              <w:t>Accrued interest expense, related parties</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sz w:val="20"/>
              </w:rPr>
            </w:pPr>
            <w:r>
              <w:rPr>
                <w:sz w:val="20"/>
              </w:rPr>
              <w:t>$</w:t>
            </w:r>
            <w:bookmarkStart w:id="408" w:name="xdx_985_eus-gaap--InterestPayableCurrent"/>
            <w:bookmarkEnd w:id="408"/>
          </w:p>
        </w:tc>
        <w:tc>
          <w:tcPr>
            <w:tcW w:w="587" w:type="dxa"/>
            <w:tcBorders/>
            <w:shd w:fill="CCEEFF" w:val="clear"/>
            <w:vAlign w:val="center"/>
          </w:tcPr>
          <w:p>
            <w:pPr>
              <w:pStyle w:val="TableContents"/>
              <w:bidi w:val="0"/>
              <w:spacing w:before="0" w:after="283"/>
              <w:jc w:val="right"/>
              <w:rPr>
                <w:sz w:val="20"/>
              </w:rPr>
            </w:pPr>
            <w:r>
              <w:rPr>
                <w:sz w:val="20"/>
              </w:rPr>
              <w:t>103</w:t>
            </w:r>
          </w:p>
        </w:tc>
        <w:tc>
          <w:tcPr>
            <w:tcW w:w="105"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sz w:val="20"/>
              </w:rPr>
            </w:pPr>
            <w:r>
              <w:rPr>
                <w:sz w:val="20"/>
              </w:rPr>
              <w:t>$</w:t>
            </w:r>
            <w:bookmarkStart w:id="409" w:name="xdx_98E_eus-gaap--InterestPayableCurrent"/>
            <w:bookmarkEnd w:id="409"/>
          </w:p>
        </w:tc>
        <w:tc>
          <w:tcPr>
            <w:tcW w:w="403" w:type="dxa"/>
            <w:tcBorders/>
            <w:shd w:fill="CCEEFF" w:val="clear"/>
            <w:vAlign w:val="center"/>
          </w:tcPr>
          <w:p>
            <w:pPr>
              <w:pStyle w:val="TableContents"/>
              <w:bidi w:val="0"/>
              <w:spacing w:before="0" w:after="283"/>
              <w:jc w:val="right"/>
              <w:rPr>
                <w:sz w:val="20"/>
              </w:rPr>
            </w:pPr>
            <w:r>
              <w:rPr>
                <w:sz w:val="20"/>
              </w:rPr>
              <w:t>36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Outstanding balances associated with related parties are as follows:</w:t>
      </w:r>
    </w:p>
    <w:p>
      <w:pPr>
        <w:pStyle w:val="TextBody"/>
        <w:bidi w:val="0"/>
        <w:spacing w:before="0" w:after="0"/>
        <w:ind w:left="0" w:right="0" w:hanging="0"/>
        <w:jc w:val="both"/>
        <w:rPr>
          <w:caps w:val="false"/>
          <w:smallCaps w:val="false"/>
        </w:rPr>
      </w:pPr>
      <w:r>
        <w:rPr>
          <w:caps w:val="false"/>
          <w:smallCaps w:val="false"/>
        </w:rPr>
        <w:t> </w:t>
      </w:r>
    </w:p>
    <w:tbl>
      <w:tblPr>
        <w:tblW w:w="3142" w:type="dxa"/>
        <w:jc w:val="left"/>
        <w:tblInd w:w="0" w:type="dxa"/>
        <w:tblLayout w:type="fixed"/>
        <w:tblCellMar>
          <w:top w:w="0" w:type="dxa"/>
          <w:left w:w="0" w:type="dxa"/>
          <w:bottom w:w="0" w:type="dxa"/>
          <w:right w:w="0" w:type="dxa"/>
        </w:tblCellMar>
      </w:tblPr>
      <w:tblGrid>
        <w:gridCol w:w="1370"/>
        <w:gridCol w:w="60"/>
        <w:gridCol w:w="141"/>
        <w:gridCol w:w="669"/>
        <w:gridCol w:w="68"/>
        <w:gridCol w:w="68"/>
        <w:gridCol w:w="141"/>
        <w:gridCol w:w="550"/>
        <w:gridCol w:w="75"/>
      </w:tblGrid>
      <w:tr>
        <w:trPr/>
        <w:tc>
          <w:tcPr>
            <w:tcW w:w="13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7"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As of December 31,</w:t>
            </w:r>
          </w:p>
        </w:tc>
        <w:tc>
          <w:tcPr>
            <w:tcW w:w="75" w:type="dxa"/>
            <w:tcBorders/>
            <w:vAlign w:val="center"/>
          </w:tcPr>
          <w:p>
            <w:pPr>
              <w:pStyle w:val="TableContents"/>
              <w:bidi w:val="0"/>
              <w:spacing w:before="0" w:after="283"/>
              <w:jc w:val="left"/>
              <w:rPr/>
            </w:pPr>
            <w:r>
              <w:rPr/>
              <w:t> </w:t>
            </w:r>
          </w:p>
        </w:tc>
      </w:tr>
      <w:tr>
        <w:trPr/>
        <w:tc>
          <w:tcPr>
            <w:tcW w:w="13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691"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2024</w:t>
            </w:r>
          </w:p>
        </w:tc>
        <w:tc>
          <w:tcPr>
            <w:tcW w:w="75" w:type="dxa"/>
            <w:tcBorders/>
            <w:vAlign w:val="center"/>
          </w:tcPr>
          <w:p>
            <w:pPr>
              <w:pStyle w:val="TableContents"/>
              <w:bidi w:val="0"/>
              <w:spacing w:before="0" w:after="283"/>
              <w:jc w:val="left"/>
              <w:rPr/>
            </w:pPr>
            <w:r>
              <w:rPr/>
              <w:t> </w:t>
            </w:r>
          </w:p>
        </w:tc>
      </w:tr>
      <w:tr>
        <w:trPr/>
        <w:tc>
          <w:tcPr>
            <w:tcW w:w="13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669" w:type="dxa"/>
            <w:tcBorders/>
            <w:vAlign w:val="center"/>
          </w:tcPr>
          <w:p>
            <w:pPr>
              <w:pStyle w:val="TableContents"/>
              <w:bidi w:val="0"/>
              <w:spacing w:before="0" w:after="283"/>
              <w:jc w:val="right"/>
              <w:rPr/>
            </w:pPr>
            <w:r>
              <w:rPr/>
              <w:t> </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55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370" w:type="dxa"/>
            <w:tcBorders/>
            <w:shd w:fill="CCEEFF" w:val="clear"/>
            <w:vAlign w:val="center"/>
          </w:tcPr>
          <w:p>
            <w:pPr>
              <w:pStyle w:val="TableContents"/>
              <w:bidi w:val="0"/>
              <w:spacing w:before="0" w:after="283"/>
              <w:jc w:val="left"/>
              <w:rPr>
                <w:sz w:val="20"/>
              </w:rPr>
            </w:pPr>
            <w:r>
              <w:rPr>
                <w:sz w:val="20"/>
              </w:rPr>
              <w:t>Beachcorp, LLC</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sz w:val="20"/>
              </w:rPr>
            </w:pPr>
            <w:r>
              <w:rPr>
                <w:sz w:val="20"/>
              </w:rPr>
              <w:t>$</w:t>
            </w:r>
            <w:bookmarkStart w:id="410" w:name="xdx_98C_eus-gaap--RelatedPartyTransactio"/>
            <w:bookmarkEnd w:id="410"/>
          </w:p>
        </w:tc>
        <w:tc>
          <w:tcPr>
            <w:tcW w:w="669" w:type="dxa"/>
            <w:tcBorders/>
            <w:shd w:fill="CCEEFF" w:val="clear"/>
            <w:vAlign w:val="center"/>
          </w:tcPr>
          <w:p>
            <w:pPr>
              <w:pStyle w:val="TableContents"/>
              <w:bidi w:val="0"/>
              <w:spacing w:before="0" w:after="283"/>
              <w:jc w:val="right"/>
              <w:rPr>
                <w:sz w:val="20"/>
              </w:rPr>
            </w:pPr>
            <w:r>
              <w:rPr>
                <w:sz w:val="20"/>
              </w:rPr>
              <w:t>14,267</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sz w:val="20"/>
              </w:rPr>
            </w:pPr>
            <w:r>
              <w:rPr>
                <w:sz w:val="20"/>
              </w:rPr>
              <w:t>$</w:t>
            </w:r>
            <w:bookmarkStart w:id="411" w:name="xdx_98F_eus-gaap--RelatedPartyTransactio"/>
            <w:bookmarkEnd w:id="411"/>
          </w:p>
        </w:tc>
        <w:tc>
          <w:tcPr>
            <w:tcW w:w="550" w:type="dxa"/>
            <w:tcBorders/>
            <w:shd w:fill="CCEEFF" w:val="clear"/>
            <w:vAlign w:val="center"/>
          </w:tcPr>
          <w:p>
            <w:pPr>
              <w:pStyle w:val="TableContents"/>
              <w:bidi w:val="0"/>
              <w:spacing w:before="0" w:after="283"/>
              <w:jc w:val="right"/>
              <w:rPr>
                <w:sz w:val="20"/>
              </w:rPr>
            </w:pPr>
            <w:r>
              <w:rPr>
                <w:sz w:val="20"/>
              </w:rPr>
              <w:t>4,000</w:t>
            </w:r>
          </w:p>
        </w:tc>
        <w:tc>
          <w:tcPr>
            <w:tcW w:w="75" w:type="dxa"/>
            <w:tcBorders/>
            <w:shd w:fill="CCEEFF" w:val="clear"/>
            <w:vAlign w:val="center"/>
          </w:tcPr>
          <w:p>
            <w:pPr>
              <w:pStyle w:val="TableContents"/>
              <w:bidi w:val="0"/>
              <w:spacing w:before="0" w:after="283"/>
              <w:jc w:val="left"/>
              <w:rPr/>
            </w:pPr>
            <w:r>
              <w:rPr/>
              <w:t> </w:t>
            </w:r>
          </w:p>
        </w:tc>
      </w:tr>
      <w:tr>
        <w:trPr/>
        <w:tc>
          <w:tcPr>
            <w:tcW w:w="1370" w:type="dxa"/>
            <w:tcBorders/>
            <w:vAlign w:val="center"/>
          </w:tcPr>
          <w:p>
            <w:pPr>
              <w:pStyle w:val="TableContents"/>
              <w:bidi w:val="0"/>
              <w:spacing w:before="0" w:after="283"/>
              <w:jc w:val="left"/>
              <w:rPr>
                <w:sz w:val="20"/>
              </w:rPr>
            </w:pPr>
            <w:r>
              <w:rPr>
                <w:sz w:val="20"/>
              </w:rPr>
              <w:t>Strandler, LLC</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bookmarkStart w:id="412" w:name="xdx_98D_eus-gaap--RelatedPartyTransactio"/>
            <w:bookmarkEnd w:id="412"/>
          </w:p>
        </w:tc>
        <w:tc>
          <w:tcPr>
            <w:tcW w:w="669" w:type="dxa"/>
            <w:tcBorders/>
            <w:vAlign w:val="center"/>
          </w:tcPr>
          <w:p>
            <w:pPr>
              <w:pStyle w:val="TableContents"/>
              <w:bidi w:val="0"/>
              <w:spacing w:before="0" w:after="283"/>
              <w:jc w:val="right"/>
              <w:rPr>
                <w:sz w:val="20"/>
              </w:rPr>
            </w:pPr>
            <w:r>
              <w:rPr>
                <w:sz w:val="20"/>
              </w:rPr>
              <w:t>1,000</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bookmarkStart w:id="413" w:name="xdx_98E_eus-gaap--RelatedPartyTransactio"/>
            <w:bookmarkEnd w:id="413"/>
          </w:p>
        </w:tc>
        <w:tc>
          <w:tcPr>
            <w:tcW w:w="550" w:type="dxa"/>
            <w:tcBorders/>
            <w:vAlign w:val="center"/>
          </w:tcPr>
          <w:p>
            <w:pPr>
              <w:pStyle w:val="TableContents"/>
              <w:bidi w:val="0"/>
              <w:spacing w:before="0" w:after="283"/>
              <w:jc w:val="right"/>
              <w:rPr>
                <w:sz w:val="20"/>
              </w:rPr>
            </w:pPr>
            <w:r>
              <w:rPr>
                <w:sz w:val="20"/>
              </w:rPr>
              <w:t>1,000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414" w:name="xdx_8A3_zot0ahqmd2tg"/>
      <w:bookmarkEnd w:id="414"/>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415" w:name="xdx_80A_eus-gaap--InventoryDisclosureTex"/>
      <w:bookmarkEnd w:id="415"/>
      <w:r>
        <w:rPr>
          <w:rFonts w:ascii="Times New Roman;Times;Serif" w:hAnsi="Times New Roman;Times;Serif"/>
          <w:b/>
          <w:i w:val="false"/>
          <w:caps w:val="false"/>
          <w:smallCaps w:val="false"/>
          <w:sz w:val="20"/>
        </w:rPr>
        <w:t xml:space="preserve">(4) </w:t>
      </w:r>
      <w:bookmarkStart w:id="416" w:name="xdx_827_zchnwgPmysU2"/>
      <w:bookmarkEnd w:id="416"/>
      <w:r>
        <w:rPr>
          <w:rFonts w:ascii="Times New Roman;Times;Serif" w:hAnsi="Times New Roman;Times;Serif"/>
          <w:b/>
          <w:i w:val="false"/>
          <w:caps w:val="false"/>
          <w:smallCaps w:val="false"/>
          <w:sz w:val="20"/>
        </w:rPr>
        <w:t>Inventories,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bookmarkStart w:id="417" w:name="xdx_890_eus-gaap--ScheduleOfInventoryCur"/>
      <w:bookmarkEnd w:id="417"/>
      <w:r>
        <w:rPr>
          <w:rFonts w:ascii="Times New Roman;Times;Serif" w:hAnsi="Times New Roman;Times;Serif"/>
          <w:b w:val="false"/>
          <w:i w:val="false"/>
          <w:caps w:val="false"/>
          <w:smallCaps w:val="false"/>
          <w:sz w:val="20"/>
        </w:rPr>
        <w:t>Inventories consist of the following:</w:t>
      </w:r>
    </w:p>
    <w:p>
      <w:pPr>
        <w:pStyle w:val="TextBody"/>
        <w:bidi w:val="0"/>
        <w:spacing w:before="0" w:after="0"/>
        <w:ind w:left="0" w:right="0" w:firstLine="720"/>
        <w:jc w:val="left"/>
        <w:rPr>
          <w:caps w:val="false"/>
          <w:smallCaps w:val="false"/>
        </w:rPr>
      </w:pPr>
      <w:r>
        <w:rPr>
          <w:caps w:val="false"/>
          <w:smallCaps w:val="false"/>
        </w:rPr>
        <w:t> </w:t>
      </w:r>
    </w:p>
    <w:tbl>
      <w:tblPr>
        <w:tblW w:w="3672" w:type="dxa"/>
        <w:jc w:val="left"/>
        <w:tblInd w:w="0" w:type="dxa"/>
        <w:tblLayout w:type="fixed"/>
        <w:tblCellMar>
          <w:top w:w="0" w:type="dxa"/>
          <w:left w:w="0" w:type="dxa"/>
          <w:bottom w:w="0" w:type="dxa"/>
          <w:right w:w="0" w:type="dxa"/>
        </w:tblCellMar>
      </w:tblPr>
      <w:tblGrid>
        <w:gridCol w:w="1880"/>
        <w:gridCol w:w="60"/>
        <w:gridCol w:w="130"/>
        <w:gridCol w:w="616"/>
        <w:gridCol w:w="83"/>
        <w:gridCol w:w="62"/>
        <w:gridCol w:w="130"/>
        <w:gridCol w:w="616"/>
        <w:gridCol w:w="95"/>
      </w:tblGrid>
      <w:tr>
        <w:trPr/>
        <w:tc>
          <w:tcPr>
            <w:tcW w:w="18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bookmarkStart w:id="418" w:name="xdx_491_20251231_zeQD6rtXW6Uc"/>
            <w:bookmarkEnd w:id="418"/>
          </w:p>
        </w:tc>
        <w:tc>
          <w:tcPr>
            <w:tcW w:w="616"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bookmarkStart w:id="419" w:name="xdx_493_20241231_z7eyxynLYZW9"/>
            <w:bookmarkEnd w:id="419"/>
          </w:p>
        </w:tc>
        <w:tc>
          <w:tcPr>
            <w:tcW w:w="616"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r>
      <w:tr>
        <w:trPr/>
        <w:tc>
          <w:tcPr>
            <w:tcW w:w="18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7"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As of December 31,</w:t>
            </w:r>
          </w:p>
        </w:tc>
        <w:tc>
          <w:tcPr>
            <w:tcW w:w="95" w:type="dxa"/>
            <w:tcBorders/>
            <w:vAlign w:val="center"/>
          </w:tcPr>
          <w:p>
            <w:pPr>
              <w:pStyle w:val="TableContents"/>
              <w:bidi w:val="0"/>
              <w:spacing w:before="0" w:after="283"/>
              <w:jc w:val="left"/>
              <w:rPr/>
            </w:pPr>
            <w:r>
              <w:rPr/>
              <w:t> </w:t>
            </w:r>
          </w:p>
        </w:tc>
      </w:tr>
      <w:tr>
        <w:trPr/>
        <w:tc>
          <w:tcPr>
            <w:tcW w:w="18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6"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83"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746"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2024</w:t>
            </w:r>
          </w:p>
        </w:tc>
        <w:tc>
          <w:tcPr>
            <w:tcW w:w="95" w:type="dxa"/>
            <w:tcBorders/>
            <w:vAlign w:val="center"/>
          </w:tcPr>
          <w:p>
            <w:pPr>
              <w:pStyle w:val="TableContents"/>
              <w:bidi w:val="0"/>
              <w:spacing w:before="0" w:after="283"/>
              <w:jc w:val="left"/>
              <w:rPr/>
            </w:pPr>
            <w:r>
              <w:rPr/>
              <w:t> </w:t>
            </w:r>
            <w:bookmarkStart w:id="420" w:name="xdx_408_eus-gaap--InventoryRawMaterials_"/>
            <w:bookmarkEnd w:id="420"/>
          </w:p>
        </w:tc>
      </w:tr>
      <w:tr>
        <w:trPr/>
        <w:tc>
          <w:tcPr>
            <w:tcW w:w="1880" w:type="dxa"/>
            <w:tcBorders/>
            <w:shd w:fill="CCEEFF" w:val="clear"/>
            <w:vAlign w:val="center"/>
          </w:tcPr>
          <w:p>
            <w:pPr>
              <w:pStyle w:val="TableContents"/>
              <w:bidi w:val="0"/>
              <w:spacing w:before="0" w:after="283"/>
              <w:jc w:val="left"/>
              <w:rPr>
                <w:sz w:val="20"/>
              </w:rPr>
            </w:pPr>
            <w:r>
              <w:rPr>
                <w:sz w:val="20"/>
              </w:rPr>
              <w:t>Raw materials</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right"/>
              <w:rPr>
                <w:sz w:val="20"/>
              </w:rPr>
            </w:pPr>
            <w:r>
              <w:rPr>
                <w:sz w:val="20"/>
              </w:rPr>
              <w:t>$</w:t>
            </w:r>
          </w:p>
        </w:tc>
        <w:tc>
          <w:tcPr>
            <w:tcW w:w="616" w:type="dxa"/>
            <w:tcBorders/>
            <w:shd w:fill="CCEEFF" w:val="clear"/>
            <w:vAlign w:val="center"/>
          </w:tcPr>
          <w:p>
            <w:pPr>
              <w:pStyle w:val="TableContents"/>
              <w:bidi w:val="0"/>
              <w:spacing w:before="0" w:after="283"/>
              <w:jc w:val="right"/>
              <w:rPr>
                <w:sz w:val="20"/>
              </w:rPr>
            </w:pPr>
            <w:r>
              <w:rPr>
                <w:sz w:val="20"/>
              </w:rPr>
              <w:t>16,533</w:t>
            </w:r>
          </w:p>
        </w:tc>
        <w:tc>
          <w:tcPr>
            <w:tcW w:w="83"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right"/>
              <w:rPr>
                <w:sz w:val="20"/>
              </w:rPr>
            </w:pPr>
            <w:r>
              <w:rPr>
                <w:sz w:val="20"/>
              </w:rPr>
              <w:t>$</w:t>
            </w:r>
          </w:p>
        </w:tc>
        <w:tc>
          <w:tcPr>
            <w:tcW w:w="616" w:type="dxa"/>
            <w:tcBorders/>
            <w:shd w:fill="CCEEFF" w:val="clear"/>
            <w:vAlign w:val="center"/>
          </w:tcPr>
          <w:p>
            <w:pPr>
              <w:pStyle w:val="TableContents"/>
              <w:bidi w:val="0"/>
              <w:spacing w:before="0" w:after="283"/>
              <w:jc w:val="right"/>
              <w:rPr>
                <w:sz w:val="20"/>
              </w:rPr>
            </w:pPr>
            <w:r>
              <w:rPr>
                <w:sz w:val="20"/>
              </w:rPr>
              <w:t>17,396</w:t>
            </w:r>
          </w:p>
        </w:tc>
        <w:tc>
          <w:tcPr>
            <w:tcW w:w="95" w:type="dxa"/>
            <w:tcBorders/>
            <w:shd w:fill="CCEEFF" w:val="clear"/>
            <w:vAlign w:val="center"/>
          </w:tcPr>
          <w:p>
            <w:pPr>
              <w:pStyle w:val="TableContents"/>
              <w:bidi w:val="0"/>
              <w:spacing w:before="0" w:after="283"/>
              <w:jc w:val="left"/>
              <w:rPr/>
            </w:pPr>
            <w:r>
              <w:rPr/>
              <w:t> </w:t>
            </w:r>
            <w:bookmarkStart w:id="421" w:name="xdx_406_eus-gaap--InventoryFinishedGoods"/>
            <w:bookmarkEnd w:id="421"/>
          </w:p>
        </w:tc>
      </w:tr>
      <w:tr>
        <w:trPr/>
        <w:tc>
          <w:tcPr>
            <w:tcW w:w="1880" w:type="dxa"/>
            <w:tcBorders/>
            <w:vAlign w:val="center"/>
          </w:tcPr>
          <w:p>
            <w:pPr>
              <w:pStyle w:val="TableContents"/>
              <w:bidi w:val="0"/>
              <w:spacing w:before="0" w:after="283"/>
              <w:jc w:val="left"/>
              <w:rPr>
                <w:sz w:val="20"/>
              </w:rPr>
            </w:pPr>
            <w:r>
              <w:rPr>
                <w:sz w:val="20"/>
              </w:rPr>
              <w:t>Finished goods</w:t>
            </w:r>
          </w:p>
        </w:tc>
        <w:tc>
          <w:tcPr>
            <w:tcW w:w="6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right"/>
              <w:rPr/>
            </w:pPr>
            <w:r>
              <w:rPr/>
              <w:t> </w:t>
            </w:r>
          </w:p>
        </w:tc>
        <w:tc>
          <w:tcPr>
            <w:tcW w:w="616" w:type="dxa"/>
            <w:tcBorders/>
            <w:vAlign w:val="center"/>
          </w:tcPr>
          <w:p>
            <w:pPr>
              <w:pStyle w:val="TableContents"/>
              <w:bidi w:val="0"/>
              <w:spacing w:before="0" w:after="283"/>
              <w:jc w:val="right"/>
              <w:rPr>
                <w:sz w:val="20"/>
              </w:rPr>
            </w:pPr>
            <w:r>
              <w:rPr>
                <w:sz w:val="20"/>
              </w:rPr>
              <w:t>4,699</w:t>
            </w:r>
          </w:p>
        </w:tc>
        <w:tc>
          <w:tcPr>
            <w:tcW w:w="83"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right"/>
              <w:rPr/>
            </w:pPr>
            <w:r>
              <w:rPr/>
              <w:t> </w:t>
            </w:r>
          </w:p>
        </w:tc>
        <w:tc>
          <w:tcPr>
            <w:tcW w:w="616" w:type="dxa"/>
            <w:tcBorders/>
            <w:vAlign w:val="center"/>
          </w:tcPr>
          <w:p>
            <w:pPr>
              <w:pStyle w:val="TableContents"/>
              <w:bidi w:val="0"/>
              <w:spacing w:before="0" w:after="283"/>
              <w:jc w:val="right"/>
              <w:rPr>
                <w:sz w:val="20"/>
              </w:rPr>
            </w:pPr>
            <w:r>
              <w:rPr>
                <w:sz w:val="20"/>
              </w:rPr>
              <w:t>4,858</w:t>
            </w:r>
          </w:p>
        </w:tc>
        <w:tc>
          <w:tcPr>
            <w:tcW w:w="95" w:type="dxa"/>
            <w:tcBorders/>
            <w:vAlign w:val="center"/>
          </w:tcPr>
          <w:p>
            <w:pPr>
              <w:pStyle w:val="TableContents"/>
              <w:bidi w:val="0"/>
              <w:spacing w:before="0" w:after="283"/>
              <w:jc w:val="left"/>
              <w:rPr/>
            </w:pPr>
            <w:r>
              <w:rPr/>
              <w:t> </w:t>
            </w:r>
            <w:bookmarkStart w:id="422" w:name="xdx_400_eus-gaap--InventoryValuationRese"/>
            <w:bookmarkEnd w:id="422"/>
          </w:p>
        </w:tc>
      </w:tr>
      <w:tr>
        <w:trPr/>
        <w:tc>
          <w:tcPr>
            <w:tcW w:w="1880" w:type="dxa"/>
            <w:tcBorders/>
            <w:shd w:fill="CCEEFF" w:val="clear"/>
            <w:vAlign w:val="center"/>
          </w:tcPr>
          <w:p>
            <w:pPr>
              <w:pStyle w:val="TableContents"/>
              <w:bidi w:val="0"/>
              <w:spacing w:before="0" w:after="283"/>
              <w:jc w:val="left"/>
              <w:rPr>
                <w:sz w:val="20"/>
              </w:rPr>
            </w:pPr>
            <w:r>
              <w:rPr>
                <w:sz w:val="20"/>
              </w:rPr>
              <w:t>Inventory reserve</w:t>
            </w:r>
          </w:p>
        </w:tc>
        <w:tc>
          <w:tcPr>
            <w:tcW w:w="60" w:type="dxa"/>
            <w:tcBorders/>
            <w:shd w:fill="CCEEFF" w:val="clear"/>
            <w:vAlign w:val="center"/>
          </w:tcPr>
          <w:p>
            <w:pPr>
              <w:pStyle w:val="TableContents"/>
              <w:bidi w:val="0"/>
              <w:spacing w:before="0" w:after="283"/>
              <w:jc w:val="left"/>
              <w:rPr/>
            </w:pPr>
            <w:r>
              <w:rPr/>
              <w:t> </w:t>
            </w:r>
          </w:p>
        </w:tc>
        <w:tc>
          <w:tcPr>
            <w:tcW w:w="13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616"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(2,721</w:t>
            </w:r>
          </w:p>
        </w:tc>
        <w:tc>
          <w:tcPr>
            <w:tcW w:w="83" w:type="dxa"/>
            <w:tcBorders/>
            <w:shd w:fill="CCEEFF" w:val="clear"/>
            <w:vAlign w:val="center"/>
          </w:tcPr>
          <w:p>
            <w:pPr>
              <w:pStyle w:val="TableContents"/>
              <w:bidi w:val="0"/>
              <w:spacing w:before="0" w:after="283"/>
              <w:jc w:val="left"/>
              <w:rPr>
                <w:sz w:val="20"/>
              </w:rPr>
            </w:pPr>
            <w:r>
              <w:rPr>
                <w:sz w:val="20"/>
              </w:rPr>
              <w:t>)</w:t>
            </w:r>
          </w:p>
        </w:tc>
        <w:tc>
          <w:tcPr>
            <w:tcW w:w="62" w:type="dxa"/>
            <w:tcBorders/>
            <w:shd w:fill="CCEEFF" w:val="clear"/>
            <w:vAlign w:val="center"/>
          </w:tcPr>
          <w:p>
            <w:pPr>
              <w:pStyle w:val="TableContents"/>
              <w:bidi w:val="0"/>
              <w:spacing w:before="0" w:after="283"/>
              <w:jc w:val="left"/>
              <w:rPr/>
            </w:pPr>
            <w:r>
              <w:rPr/>
              <w:t> </w:t>
            </w:r>
          </w:p>
        </w:tc>
        <w:tc>
          <w:tcPr>
            <w:tcW w:w="13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616" w:type="dxa"/>
            <w:tcBorders>
              <w:bottom w:val="single" w:sz="8" w:space="0" w:color="000000"/>
            </w:tcBorders>
            <w:shd w:fill="CCECFF" w:val="clear"/>
            <w:tcMar>
              <w:bottom w:w="28" w:type="dxa"/>
            </w:tcMar>
            <w:vAlign w:val="center"/>
          </w:tcPr>
          <w:p>
            <w:pPr>
              <w:pStyle w:val="TableContents"/>
              <w:bidi w:val="0"/>
              <w:spacing w:before="0" w:after="283"/>
              <w:jc w:val="right"/>
              <w:rPr>
                <w:sz w:val="20"/>
              </w:rPr>
            </w:pPr>
            <w:r>
              <w:rPr>
                <w:sz w:val="20"/>
              </w:rPr>
              <w:t>(1,987</w:t>
            </w:r>
          </w:p>
        </w:tc>
        <w:tc>
          <w:tcPr>
            <w:tcW w:w="95" w:type="dxa"/>
            <w:tcBorders/>
            <w:shd w:fill="CCECFF" w:val="clear"/>
            <w:vAlign w:val="center"/>
          </w:tcPr>
          <w:p>
            <w:pPr>
              <w:pStyle w:val="TableContents"/>
              <w:bidi w:val="0"/>
              <w:spacing w:before="0" w:after="283"/>
              <w:jc w:val="left"/>
              <w:rPr>
                <w:sz w:val="20"/>
              </w:rPr>
            </w:pPr>
            <w:r>
              <w:rPr>
                <w:sz w:val="20"/>
              </w:rPr>
              <w:t>)</w:t>
            </w:r>
            <w:bookmarkStart w:id="423" w:name="xdx_40C_eus-gaap--InventoryNet_iTI_pn3n3"/>
            <w:bookmarkEnd w:id="423"/>
          </w:p>
        </w:tc>
      </w:tr>
      <w:tr>
        <w:trPr/>
        <w:tc>
          <w:tcPr>
            <w:tcW w:w="1880" w:type="dxa"/>
            <w:tcBorders/>
            <w:vAlign w:val="center"/>
          </w:tcPr>
          <w:p>
            <w:pPr>
              <w:pStyle w:val="TableContents"/>
              <w:bidi w:val="0"/>
              <w:spacing w:before="0" w:after="283"/>
              <w:jc w:val="left"/>
              <w:rPr/>
            </w:pPr>
            <w:r>
              <w:rPr/>
              <w:t> </w:t>
            </w:r>
            <w:r>
              <w:rPr>
                <w:sz w:val="20"/>
              </w:rPr>
              <w:t xml:space="preserve">Total Inventories, net </w:t>
            </w:r>
          </w:p>
        </w:tc>
        <w:tc>
          <w:tcPr>
            <w:tcW w:w="60" w:type="dxa"/>
            <w:tcBorders/>
            <w:vAlign w:val="center"/>
          </w:tcPr>
          <w:p>
            <w:pPr>
              <w:pStyle w:val="TableContents"/>
              <w:bidi w:val="0"/>
              <w:spacing w:before="0" w:after="283"/>
              <w:jc w:val="left"/>
              <w:rPr/>
            </w:pPr>
            <w:r>
              <w:rPr/>
              <w:t> </w:t>
            </w:r>
          </w:p>
        </w:tc>
        <w:tc>
          <w:tcPr>
            <w:tcW w:w="130" w:type="dxa"/>
            <w:tcBorders>
              <w:bottom w:val="double" w:sz="6" w:space="0" w:color="000000"/>
            </w:tcBorders>
            <w:tcMar>
              <w:bottom w:w="28" w:type="dxa"/>
            </w:tcMar>
            <w:vAlign w:val="center"/>
          </w:tcPr>
          <w:p>
            <w:pPr>
              <w:pStyle w:val="TableContents"/>
              <w:bidi w:val="0"/>
              <w:spacing w:before="0" w:after="283"/>
              <w:jc w:val="right"/>
              <w:rPr/>
            </w:pPr>
            <w:r>
              <w:rPr/>
              <w:t> </w:t>
            </w:r>
          </w:p>
        </w:tc>
        <w:tc>
          <w:tcPr>
            <w:tcW w:w="616" w:type="dxa"/>
            <w:tcBorders>
              <w:bottom w:val="double" w:sz="6" w:space="0" w:color="000000"/>
            </w:tcBorders>
            <w:tcMar>
              <w:bottom w:w="28" w:type="dxa"/>
            </w:tcMar>
            <w:vAlign w:val="center"/>
          </w:tcPr>
          <w:p>
            <w:pPr>
              <w:pStyle w:val="TableContents"/>
              <w:bidi w:val="0"/>
              <w:spacing w:before="0" w:after="283"/>
              <w:jc w:val="right"/>
              <w:rPr>
                <w:sz w:val="20"/>
              </w:rPr>
            </w:pPr>
            <w:r>
              <w:rPr>
                <w:sz w:val="20"/>
              </w:rPr>
              <w:t>18,511</w:t>
            </w:r>
          </w:p>
        </w:tc>
        <w:tc>
          <w:tcPr>
            <w:tcW w:w="83"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30" w:type="dxa"/>
            <w:tcBorders>
              <w:bottom w:val="double" w:sz="6" w:space="0" w:color="000000"/>
            </w:tcBorders>
            <w:tcMar>
              <w:bottom w:w="28" w:type="dxa"/>
            </w:tcMar>
            <w:vAlign w:val="center"/>
          </w:tcPr>
          <w:p>
            <w:pPr>
              <w:pStyle w:val="TableContents"/>
              <w:bidi w:val="0"/>
              <w:spacing w:before="0" w:after="283"/>
              <w:jc w:val="right"/>
              <w:rPr/>
            </w:pPr>
            <w:r>
              <w:rPr/>
              <w:t> </w:t>
            </w:r>
          </w:p>
        </w:tc>
        <w:tc>
          <w:tcPr>
            <w:tcW w:w="616" w:type="dxa"/>
            <w:tcBorders>
              <w:bottom w:val="double" w:sz="6" w:space="0" w:color="000000"/>
            </w:tcBorders>
            <w:tcMar>
              <w:bottom w:w="28" w:type="dxa"/>
            </w:tcMar>
            <w:vAlign w:val="center"/>
          </w:tcPr>
          <w:p>
            <w:pPr>
              <w:pStyle w:val="TableContents"/>
              <w:bidi w:val="0"/>
              <w:spacing w:before="0" w:after="283"/>
              <w:jc w:val="right"/>
              <w:rPr>
                <w:sz w:val="20"/>
              </w:rPr>
            </w:pPr>
            <w:r>
              <w:rPr>
                <w:sz w:val="20"/>
              </w:rPr>
              <w:t>20,267</w:t>
            </w:r>
          </w:p>
        </w:tc>
        <w:tc>
          <w:tcPr>
            <w:tcW w:w="9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424" w:name="xdx_8A7_z0wy2vaAWHS6"/>
      <w:bookmarkEnd w:id="424"/>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F-13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25" w:name="xdx_805_eus-gaap--PropertyPlantAndEquipm"/>
      <w:bookmarkEnd w:id="425"/>
      <w:r>
        <w:rPr>
          <w:rFonts w:ascii="Times New Roman;Times;Serif" w:hAnsi="Times New Roman;Times;Serif"/>
          <w:b/>
          <w:i w:val="false"/>
          <w:caps w:val="false"/>
          <w:smallCaps w:val="false"/>
          <w:sz w:val="20"/>
        </w:rPr>
        <w:t xml:space="preserve">(5) </w:t>
      </w:r>
      <w:bookmarkStart w:id="426" w:name="xdx_82E_zEzBcsaruEOi"/>
      <w:bookmarkEnd w:id="426"/>
      <w:r>
        <w:rPr>
          <w:rFonts w:ascii="Times New Roman;Times;Serif" w:hAnsi="Times New Roman;Times;Serif"/>
          <w:b/>
          <w:i w:val="false"/>
          <w:caps w:val="false"/>
          <w:smallCaps w:val="false"/>
          <w:sz w:val="20"/>
        </w:rPr>
        <w:t>Equipment and Leasehold Improvements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27" w:name="xdx_8B0_ztSIeOlW8p6i"/>
      <w:bookmarkStart w:id="428" w:name="xdx_898_eus-gaap--PropertyPlantAndEquipm"/>
      <w:bookmarkEnd w:id="427"/>
      <w:bookmarkEnd w:id="428"/>
      <w:r>
        <w:rPr>
          <w:rFonts w:ascii="Times New Roman;Times;Serif" w:hAnsi="Times New Roman;Times;Serif"/>
          <w:b w:val="false"/>
          <w:i w:val="false"/>
          <w:caps w:val="false"/>
          <w:smallCaps w:val="false"/>
          <w:sz w:val="20"/>
        </w:rPr>
        <w:t>Equipment and leasehold improvements consist of the following:</w:t>
      </w:r>
    </w:p>
    <w:tbl>
      <w:tblPr>
        <w:tblW w:w="5975" w:type="dxa"/>
        <w:jc w:val="left"/>
        <w:tblInd w:w="0" w:type="dxa"/>
        <w:tblLayout w:type="fixed"/>
        <w:tblCellMar>
          <w:top w:w="0" w:type="dxa"/>
          <w:left w:w="0" w:type="dxa"/>
          <w:bottom w:w="0" w:type="dxa"/>
          <w:right w:w="0" w:type="dxa"/>
        </w:tblCellMar>
      </w:tblPr>
      <w:tblGrid>
        <w:gridCol w:w="4070"/>
        <w:gridCol w:w="60"/>
        <w:gridCol w:w="125"/>
        <w:gridCol w:w="650"/>
        <w:gridCol w:w="80"/>
        <w:gridCol w:w="60"/>
        <w:gridCol w:w="125"/>
        <w:gridCol w:w="650"/>
        <w:gridCol w:w="80"/>
        <w:gridCol w:w="75"/>
      </w:tblGrid>
      <w:tr>
        <w:trPr/>
        <w:tc>
          <w:tcPr>
            <w:tcW w:w="40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90"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As of December 31,</w:t>
            </w:r>
          </w:p>
        </w:tc>
        <w:tc>
          <w:tcPr>
            <w:tcW w:w="8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0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2024</w:t>
            </w:r>
          </w:p>
        </w:tc>
        <w:tc>
          <w:tcPr>
            <w:tcW w:w="8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283"/>
              <w:jc w:val="left"/>
              <w:rPr>
                <w:sz w:val="20"/>
              </w:rPr>
            </w:pPr>
            <w:r>
              <w:rPr>
                <w:sz w:val="20"/>
              </w:rPr>
              <w:t>Machinery and equipment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bookmarkStart w:id="429" w:name="xdx_98E_eus-gaap--PropertyPlantAndEquipm"/>
            <w:bookmarkEnd w:id="429"/>
          </w:p>
        </w:tc>
        <w:tc>
          <w:tcPr>
            <w:tcW w:w="650" w:type="dxa"/>
            <w:tcBorders/>
            <w:shd w:fill="CCEEFF" w:val="clear"/>
            <w:vAlign w:val="center"/>
          </w:tcPr>
          <w:p>
            <w:pPr>
              <w:pStyle w:val="TableContents"/>
              <w:bidi w:val="0"/>
              <w:spacing w:before="0" w:after="283"/>
              <w:jc w:val="right"/>
              <w:rPr>
                <w:sz w:val="20"/>
              </w:rPr>
            </w:pPr>
            <w:r>
              <w:rPr>
                <w:sz w:val="20"/>
              </w:rPr>
              <w:t>30,541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bookmarkStart w:id="430" w:name="xdx_98E_eus-gaap--PropertyPlantAndEquipm"/>
            <w:bookmarkEnd w:id="430"/>
          </w:p>
        </w:tc>
        <w:tc>
          <w:tcPr>
            <w:tcW w:w="650" w:type="dxa"/>
            <w:tcBorders/>
            <w:shd w:fill="CCEEFF" w:val="clear"/>
            <w:vAlign w:val="center"/>
          </w:tcPr>
          <w:p>
            <w:pPr>
              <w:pStyle w:val="TableContents"/>
              <w:bidi w:val="0"/>
              <w:spacing w:before="0" w:after="283"/>
              <w:jc w:val="right"/>
              <w:rPr>
                <w:sz w:val="20"/>
              </w:rPr>
            </w:pPr>
            <w:r>
              <w:rPr>
                <w:sz w:val="20"/>
              </w:rPr>
              <w:t>23,551</w:t>
            </w:r>
          </w:p>
        </w:tc>
        <w:tc>
          <w:tcPr>
            <w:tcW w:w="80" w:type="dxa"/>
            <w:tcBorders/>
            <w:shd w:fill="CCEEFF" w:val="cle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070" w:type="dxa"/>
            <w:tcBorders/>
            <w:vAlign w:val="center"/>
          </w:tcPr>
          <w:p>
            <w:pPr>
              <w:pStyle w:val="TableContents"/>
              <w:bidi w:val="0"/>
              <w:spacing w:before="0" w:after="283"/>
              <w:jc w:val="left"/>
              <w:rPr>
                <w:sz w:val="20"/>
              </w:rPr>
            </w:pPr>
            <w:r>
              <w:rPr>
                <w:sz w:val="20"/>
              </w:rPr>
              <w:t>Office equipment</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bookmarkStart w:id="431" w:name="xdx_987_eus-gaap--PropertyPlantAndEquipm"/>
            <w:bookmarkEnd w:id="431"/>
          </w:p>
        </w:tc>
        <w:tc>
          <w:tcPr>
            <w:tcW w:w="650" w:type="dxa"/>
            <w:tcBorders/>
            <w:vAlign w:val="center"/>
          </w:tcPr>
          <w:p>
            <w:pPr>
              <w:pStyle w:val="TableContents"/>
              <w:bidi w:val="0"/>
              <w:spacing w:before="0" w:after="283"/>
              <w:jc w:val="right"/>
              <w:rPr>
                <w:sz w:val="20"/>
              </w:rPr>
            </w:pPr>
            <w:r>
              <w:rPr>
                <w:sz w:val="20"/>
              </w:rPr>
              <w:t>285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bookmarkStart w:id="432" w:name="xdx_98F_eus-gaap--PropertyPlantAndEquipm"/>
            <w:bookmarkEnd w:id="432"/>
          </w:p>
        </w:tc>
        <w:tc>
          <w:tcPr>
            <w:tcW w:w="650" w:type="dxa"/>
            <w:tcBorders/>
            <w:vAlign w:val="center"/>
          </w:tcPr>
          <w:p>
            <w:pPr>
              <w:pStyle w:val="TableContents"/>
              <w:bidi w:val="0"/>
              <w:spacing w:before="0" w:after="283"/>
              <w:jc w:val="right"/>
              <w:rPr>
                <w:sz w:val="20"/>
              </w:rPr>
            </w:pPr>
            <w:r>
              <w:rPr>
                <w:sz w:val="20"/>
              </w:rPr>
              <w:t>1,014</w:t>
            </w:r>
          </w:p>
        </w:tc>
        <w:tc>
          <w:tcPr>
            <w:tcW w:w="8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283"/>
              <w:jc w:val="left"/>
              <w:rPr>
                <w:sz w:val="20"/>
              </w:rPr>
            </w:pPr>
            <w:r>
              <w:rPr>
                <w:sz w:val="20"/>
              </w:rPr>
              <w:t>Office furniture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bookmarkStart w:id="433" w:name="xdx_981_eus-gaap--PropertyPlantAndEquipm"/>
            <w:bookmarkEnd w:id="433"/>
          </w:p>
        </w:tc>
        <w:tc>
          <w:tcPr>
            <w:tcW w:w="650" w:type="dxa"/>
            <w:tcBorders/>
            <w:shd w:fill="CCEEFF" w:val="clear"/>
            <w:vAlign w:val="center"/>
          </w:tcPr>
          <w:p>
            <w:pPr>
              <w:pStyle w:val="TableContents"/>
              <w:bidi w:val="0"/>
              <w:spacing w:before="0" w:after="283"/>
              <w:jc w:val="right"/>
              <w:rPr>
                <w:sz w:val="20"/>
              </w:rPr>
            </w:pPr>
            <w:r>
              <w:rPr>
                <w:sz w:val="20"/>
              </w:rPr>
              <w:t>1,014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bookmarkStart w:id="434" w:name="xdx_983_eus-gaap--PropertyPlantAndEquipm"/>
            <w:bookmarkEnd w:id="434"/>
          </w:p>
        </w:tc>
        <w:tc>
          <w:tcPr>
            <w:tcW w:w="650" w:type="dxa"/>
            <w:tcBorders/>
            <w:shd w:fill="CCEEFF" w:val="clear"/>
            <w:vAlign w:val="center"/>
          </w:tcPr>
          <w:p>
            <w:pPr>
              <w:pStyle w:val="TableContents"/>
              <w:bidi w:val="0"/>
              <w:spacing w:before="0" w:after="283"/>
              <w:jc w:val="right"/>
              <w:rPr>
                <w:sz w:val="20"/>
              </w:rPr>
            </w:pPr>
            <w:r>
              <w:rPr>
                <w:sz w:val="20"/>
              </w:rPr>
              <w:t>126</w:t>
            </w:r>
          </w:p>
        </w:tc>
        <w:tc>
          <w:tcPr>
            <w:tcW w:w="80" w:type="dxa"/>
            <w:tcBorders/>
            <w:shd w:fill="CCEEFF" w:val="cle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070" w:type="dxa"/>
            <w:tcBorders/>
            <w:vAlign w:val="center"/>
          </w:tcPr>
          <w:p>
            <w:pPr>
              <w:pStyle w:val="TableContents"/>
              <w:bidi w:val="0"/>
              <w:spacing w:before="0" w:after="283"/>
              <w:jc w:val="left"/>
              <w:rPr>
                <w:sz w:val="20"/>
              </w:rPr>
            </w:pPr>
            <w:r>
              <w:rPr>
                <w:sz w:val="20"/>
              </w:rPr>
              <w:t>Leasehold improvements</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bookmarkStart w:id="435" w:name="xdx_980_eus-gaap--PropertyPlantAndEquipm"/>
            <w:bookmarkEnd w:id="435"/>
          </w:p>
        </w:tc>
        <w:tc>
          <w:tcPr>
            <w:tcW w:w="650" w:type="dxa"/>
            <w:tcBorders/>
            <w:vAlign w:val="center"/>
          </w:tcPr>
          <w:p>
            <w:pPr>
              <w:pStyle w:val="TableContents"/>
              <w:bidi w:val="0"/>
              <w:spacing w:before="0" w:after="283"/>
              <w:jc w:val="right"/>
              <w:rPr>
                <w:sz w:val="20"/>
              </w:rPr>
            </w:pPr>
            <w:r>
              <w:rPr>
                <w:sz w:val="20"/>
              </w:rPr>
              <w:t>5,312</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bookmarkStart w:id="436" w:name="xdx_98F_eus-gaap--PropertyPlantAndEquipm"/>
            <w:bookmarkEnd w:id="436"/>
          </w:p>
        </w:tc>
        <w:tc>
          <w:tcPr>
            <w:tcW w:w="650" w:type="dxa"/>
            <w:tcBorders/>
            <w:vAlign w:val="center"/>
          </w:tcPr>
          <w:p>
            <w:pPr>
              <w:pStyle w:val="TableContents"/>
              <w:bidi w:val="0"/>
              <w:spacing w:before="0" w:after="283"/>
              <w:jc w:val="right"/>
              <w:rPr>
                <w:sz w:val="20"/>
              </w:rPr>
            </w:pPr>
            <w:r>
              <w:rPr>
                <w:sz w:val="20"/>
              </w:rPr>
              <w:t>5,153</w:t>
            </w:r>
          </w:p>
        </w:tc>
        <w:tc>
          <w:tcPr>
            <w:tcW w:w="8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283"/>
              <w:jc w:val="left"/>
              <w:rPr>
                <w:sz w:val="20"/>
              </w:rPr>
            </w:pPr>
            <w:r>
              <w:rPr>
                <w:sz w:val="20"/>
              </w:rPr>
              <w:t>Construction in progress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437" w:name="xdx_987_eus-gaap--PropertyPlantAndEquipm"/>
            <w:bookmarkEnd w:id="437"/>
          </w:p>
        </w:tc>
        <w:tc>
          <w:tcPr>
            <w:tcW w:w="65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880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438" w:name="xdx_980_eus-gaap--PropertyPlantAndEquipm"/>
            <w:bookmarkEnd w:id="438"/>
          </w:p>
        </w:tc>
        <w:tc>
          <w:tcPr>
            <w:tcW w:w="65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5,706</w:t>
            </w:r>
          </w:p>
        </w:tc>
        <w:tc>
          <w:tcPr>
            <w:tcW w:w="80" w:type="dxa"/>
            <w:tcBorders/>
            <w:shd w:fill="CCEEFF" w:val="cle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0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bookmarkStart w:id="439" w:name="xdx_982_eus-gaap--PropertyPlantAndEquipm"/>
            <w:bookmarkEnd w:id="439"/>
          </w:p>
        </w:tc>
        <w:tc>
          <w:tcPr>
            <w:tcW w:w="650" w:type="dxa"/>
            <w:tcBorders/>
            <w:vAlign w:val="center"/>
          </w:tcPr>
          <w:p>
            <w:pPr>
              <w:pStyle w:val="TableContents"/>
              <w:bidi w:val="0"/>
              <w:spacing w:before="0" w:after="283"/>
              <w:jc w:val="right"/>
              <w:rPr>
                <w:sz w:val="20"/>
              </w:rPr>
            </w:pPr>
            <w:r>
              <w:rPr>
                <w:sz w:val="20"/>
              </w:rPr>
              <w:t>38,032</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bookmarkStart w:id="440" w:name="xdx_980_eus-gaap--PropertyPlantAndEquipm"/>
            <w:bookmarkEnd w:id="440"/>
          </w:p>
        </w:tc>
        <w:tc>
          <w:tcPr>
            <w:tcW w:w="650" w:type="dxa"/>
            <w:tcBorders/>
            <w:vAlign w:val="center"/>
          </w:tcPr>
          <w:p>
            <w:pPr>
              <w:pStyle w:val="TableContents"/>
              <w:bidi w:val="0"/>
              <w:spacing w:before="0" w:after="283"/>
              <w:jc w:val="right"/>
              <w:rPr>
                <w:sz w:val="20"/>
              </w:rPr>
            </w:pPr>
            <w:r>
              <w:rPr>
                <w:sz w:val="20"/>
              </w:rPr>
              <w:t>35,550</w:t>
            </w:r>
          </w:p>
        </w:tc>
        <w:tc>
          <w:tcPr>
            <w:tcW w:w="8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283"/>
              <w:jc w:val="left"/>
              <w:rPr>
                <w:sz w:val="20"/>
              </w:rPr>
            </w:pPr>
            <w:r>
              <w:rPr>
                <w:sz w:val="20"/>
              </w:rPr>
              <w:t>Less: Accumulated depreciation and amortization</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441" w:name="xdx_982_eus-gaap--AccumulatedDepreciatio"/>
            <w:bookmarkEnd w:id="441"/>
          </w:p>
        </w:tc>
        <w:tc>
          <w:tcPr>
            <w:tcW w:w="65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(23,703</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442" w:name="xdx_98B_eus-gaap--AccumulatedDepreciatio"/>
            <w:bookmarkEnd w:id="442"/>
          </w:p>
        </w:tc>
        <w:tc>
          <w:tcPr>
            <w:tcW w:w="65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(22,816</w:t>
            </w:r>
          </w:p>
        </w:tc>
        <w:tc>
          <w:tcPr>
            <w:tcW w:w="80" w:type="dxa"/>
            <w:tcBorders/>
            <w:shd w:fill="CCEEFF" w:val="clear"/>
            <w:vAlign w:val="center"/>
          </w:tcPr>
          <w:p>
            <w:pPr>
              <w:pStyle w:val="TableContents"/>
              <w:bidi w:val="0"/>
              <w:spacing w:before="0" w:after="283"/>
              <w:jc w:val="left"/>
              <w:rPr>
                <w:sz w:val="20"/>
              </w:rPr>
            </w:pPr>
            <w:r>
              <w:rPr>
                <w:sz w:val="20"/>
              </w:rPr>
              <w:t>)</w:t>
            </w:r>
          </w:p>
        </w:tc>
        <w:tc>
          <w:tcPr>
            <w:tcW w:w="75" w:type="dxa"/>
            <w:tcBorders/>
            <w:vAlign w:val="center"/>
          </w:tcPr>
          <w:p>
            <w:pPr>
              <w:pStyle w:val="TableContents"/>
              <w:bidi w:val="0"/>
              <w:spacing w:before="0" w:after="283"/>
              <w:jc w:val="left"/>
              <w:rPr/>
            </w:pPr>
            <w:r>
              <w:rPr/>
              <w:t> </w:t>
            </w:r>
          </w:p>
        </w:tc>
      </w:tr>
      <w:tr>
        <w:trPr/>
        <w:tc>
          <w:tcPr>
            <w:tcW w:w="40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double" w:sz="6" w:space="0" w:color="000000"/>
            </w:tcBorders>
            <w:tcMar>
              <w:bottom w:w="28" w:type="dxa"/>
            </w:tcMar>
            <w:vAlign w:val="center"/>
          </w:tcPr>
          <w:p>
            <w:pPr>
              <w:pStyle w:val="TableContents"/>
              <w:bidi w:val="0"/>
              <w:spacing w:before="0" w:after="283"/>
              <w:jc w:val="left"/>
              <w:rPr>
                <w:sz w:val="20"/>
              </w:rPr>
            </w:pPr>
            <w:r>
              <w:rPr>
                <w:sz w:val="20"/>
              </w:rPr>
              <w:t>$</w:t>
            </w:r>
            <w:bookmarkStart w:id="443" w:name="xdx_98D_eus-gaap--PropertyPlantAndEquipm"/>
            <w:bookmarkEnd w:id="443"/>
          </w:p>
        </w:tc>
        <w:tc>
          <w:tcPr>
            <w:tcW w:w="650" w:type="dxa"/>
            <w:tcBorders>
              <w:bottom w:val="double" w:sz="6" w:space="0" w:color="000000"/>
            </w:tcBorders>
            <w:tcMar>
              <w:bottom w:w="28" w:type="dxa"/>
            </w:tcMar>
            <w:vAlign w:val="center"/>
          </w:tcPr>
          <w:p>
            <w:pPr>
              <w:pStyle w:val="TableContents"/>
              <w:bidi w:val="0"/>
              <w:spacing w:before="0" w:after="283"/>
              <w:jc w:val="right"/>
              <w:rPr>
                <w:sz w:val="20"/>
              </w:rPr>
            </w:pPr>
            <w:r>
              <w:rPr>
                <w:sz w:val="20"/>
              </w:rPr>
              <w:t>14,329</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double" w:sz="6" w:space="0" w:color="000000"/>
            </w:tcBorders>
            <w:tcMar>
              <w:bottom w:w="28" w:type="dxa"/>
            </w:tcMar>
            <w:vAlign w:val="center"/>
          </w:tcPr>
          <w:p>
            <w:pPr>
              <w:pStyle w:val="TableContents"/>
              <w:bidi w:val="0"/>
              <w:spacing w:before="0" w:after="283"/>
              <w:jc w:val="left"/>
              <w:rPr>
                <w:sz w:val="20"/>
              </w:rPr>
            </w:pPr>
            <w:r>
              <w:rPr>
                <w:sz w:val="20"/>
              </w:rPr>
              <w:t>$</w:t>
            </w:r>
            <w:bookmarkStart w:id="444" w:name="xdx_987_eus-gaap--PropertyPlantAndEquipm"/>
            <w:bookmarkEnd w:id="444"/>
          </w:p>
        </w:tc>
        <w:tc>
          <w:tcPr>
            <w:tcW w:w="650" w:type="dxa"/>
            <w:tcBorders>
              <w:bottom w:val="double" w:sz="6" w:space="0" w:color="000000"/>
            </w:tcBorders>
            <w:tcMar>
              <w:bottom w:w="28" w:type="dxa"/>
            </w:tcMar>
            <w:vAlign w:val="center"/>
          </w:tcPr>
          <w:p>
            <w:pPr>
              <w:pStyle w:val="TableContents"/>
              <w:bidi w:val="0"/>
              <w:spacing w:before="0" w:after="283"/>
              <w:jc w:val="right"/>
              <w:rPr>
                <w:sz w:val="20"/>
              </w:rPr>
            </w:pPr>
            <w:r>
              <w:rPr>
                <w:sz w:val="20"/>
              </w:rPr>
              <w:t>12,734</w:t>
            </w:r>
          </w:p>
        </w:tc>
        <w:tc>
          <w:tcPr>
            <w:tcW w:w="8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bookmarkStart w:id="445" w:name="xdx_8A8_zW0Q59FqWUM"/>
      <w:bookmarkEnd w:id="445"/>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Depreciation expense was </w:t>
      </w:r>
      <w:bookmarkStart w:id="446" w:name="xdx_905_eus-gaap--Depreciation_pn3n3_c20"/>
      <w:bookmarkEnd w:id="446"/>
      <w:r>
        <w:rPr>
          <w:rFonts w:ascii="Times New Roman;Times;Serif" w:hAnsi="Times New Roman;Times;Serif"/>
          <w:b w:val="false"/>
          <w:i w:val="false"/>
          <w:caps w:val="false"/>
          <w:smallCaps w:val="false"/>
          <w:sz w:val="20"/>
        </w:rPr>
        <w:t xml:space="preserve">$888 and </w:t>
      </w:r>
      <w:bookmarkStart w:id="447" w:name="xdx_90F_eus-gaap--Depreciation_pn3n3_c20"/>
      <w:bookmarkEnd w:id="447"/>
      <w:r>
        <w:rPr>
          <w:rFonts w:ascii="Times New Roman;Times;Serif" w:hAnsi="Times New Roman;Times;Serif"/>
          <w:b w:val="false"/>
          <w:i w:val="false"/>
          <w:caps w:val="false"/>
          <w:smallCaps w:val="false"/>
          <w:sz w:val="20"/>
        </w:rPr>
        <w:t>$918, for the years ended December 31, 2025 and 2024,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48" w:name="xdx_803_eus-gaap--CommitmentsDisclosureT"/>
      <w:bookmarkEnd w:id="448"/>
      <w:r>
        <w:rPr>
          <w:rFonts w:ascii="Times New Roman;Times;Serif" w:hAnsi="Times New Roman;Times;Serif"/>
          <w:b/>
          <w:i w:val="false"/>
          <w:caps w:val="false"/>
          <w:smallCaps w:val="false"/>
          <w:sz w:val="20"/>
        </w:rPr>
        <w:t xml:space="preserve">(6) </w:t>
      </w:r>
      <w:bookmarkStart w:id="449" w:name="xdx_827_zWu2VgI7tct9"/>
      <w:bookmarkEnd w:id="449"/>
      <w:r>
        <w:rPr>
          <w:rFonts w:ascii="Times New Roman;Times;Serif" w:hAnsi="Times New Roman;Times;Serif"/>
          <w:b/>
          <w:i w:val="false"/>
          <w:caps w:val="false"/>
          <w:smallCaps w:val="false"/>
          <w:sz w:val="20"/>
        </w:rPr>
        <w:t>Lease Commitments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operating lease portfolio is comprised of operating leases for office, warehouse space and equipment. Certain of the Company’s leases include one or more options to renew or terminate the lease at the Company’s discretion. The Company regularly evaluates the renewal and termination options and when they are reasonably certain of exercise, includes the renewal or termination option in our lease term.</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discount rates used for leases accounted for under ASC 842 are based on an interest rate yield curve developed for the leases in the Company’s portfolio.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fourth quarter of 2025, the Company exited its lease in Burr Ridge at the conclusion of the lease term.</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office leases contain variable lease payments which consist primarily of taxes, insurance, and common area or other maintenance costs, which are paid based on actual costs incurred by the lessor. The Company has elected to utilize the available practical expedient to combine lease and non-lease components for building leases.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bookmarkStart w:id="450" w:name="xdx_8B0_z9X8mLza4kHl"/>
      <w:bookmarkStart w:id="451" w:name="xdx_89F_eus-gaap--LeaseCostTableTextBloc"/>
      <w:bookmarkEnd w:id="450"/>
      <w:bookmarkEnd w:id="451"/>
      <w:r>
        <w:rPr>
          <w:rFonts w:ascii="Times New Roman;Times;Serif" w:hAnsi="Times New Roman;Times;Serif"/>
          <w:b w:val="false"/>
          <w:i w:val="false"/>
          <w:caps w:val="false"/>
          <w:smallCaps w:val="false"/>
          <w:sz w:val="20"/>
        </w:rPr>
        <w:t>Quantitative information regarding the Company’s leases is as follows:</w:t>
      </w:r>
    </w:p>
    <w:p>
      <w:pPr>
        <w:pStyle w:val="TextBody"/>
        <w:bidi w:val="0"/>
        <w:spacing w:before="0" w:after="0"/>
        <w:ind w:left="0" w:right="0" w:firstLine="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52"/>
        <w:gridCol w:w="60"/>
        <w:gridCol w:w="716"/>
        <w:gridCol w:w="2864"/>
        <w:gridCol w:w="60"/>
        <w:gridCol w:w="60"/>
        <w:gridCol w:w="716"/>
        <w:gridCol w:w="2864"/>
        <w:gridCol w:w="113"/>
      </w:tblGrid>
      <w:tr>
        <w:trPr/>
        <w:tc>
          <w:tcPr>
            <w:tcW w:w="275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52" w:name="xdx_49C_20250101__20251231_zHDsZg2kY2Cc"/>
            <w:bookmarkEnd w:id="452"/>
          </w:p>
        </w:tc>
        <w:tc>
          <w:tcPr>
            <w:tcW w:w="35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Twelve Months Ended December 31, 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53" w:name="xdx_492_20240101__20241231_zpJutI0mQ0J9"/>
            <w:bookmarkEnd w:id="453"/>
          </w:p>
        </w:tc>
        <w:tc>
          <w:tcPr>
            <w:tcW w:w="35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Twelve Months Ended December 31, 2024</w:t>
            </w:r>
          </w:p>
        </w:tc>
        <w:tc>
          <w:tcPr>
            <w:tcW w:w="113" w:type="dxa"/>
            <w:tcBorders/>
            <w:vAlign w:val="center"/>
          </w:tcPr>
          <w:p>
            <w:pPr>
              <w:pStyle w:val="TableContents"/>
              <w:bidi w:val="0"/>
              <w:spacing w:before="0" w:after="283"/>
              <w:jc w:val="left"/>
              <w:rPr/>
            </w:pPr>
            <w:r>
              <w:rPr/>
              <w:t> </w:t>
            </w:r>
            <w:bookmarkStart w:id="454" w:name="xdx_40A_eus-gaap--LeaseCostAbstract_iB_z"/>
            <w:bookmarkEnd w:id="454"/>
          </w:p>
        </w:tc>
      </w:tr>
      <w:tr>
        <w:trPr/>
        <w:tc>
          <w:tcPr>
            <w:tcW w:w="2752" w:type="dxa"/>
            <w:tcBorders/>
            <w:vAlign w:val="center"/>
          </w:tcPr>
          <w:p>
            <w:pPr>
              <w:pStyle w:val="TableContents"/>
              <w:bidi w:val="0"/>
              <w:spacing w:before="0" w:after="283"/>
              <w:jc w:val="left"/>
              <w:rPr/>
            </w:pPr>
            <w:r>
              <w:rPr/>
              <w:t>Components of lease cost</w:t>
            </w:r>
          </w:p>
        </w:tc>
        <w:tc>
          <w:tcPr>
            <w:tcW w:w="60" w:type="dxa"/>
            <w:tcBorders/>
            <w:vAlign w:val="center"/>
          </w:tcPr>
          <w:p>
            <w:pPr>
              <w:pStyle w:val="TableContents"/>
              <w:bidi w:val="0"/>
              <w:spacing w:before="0" w:after="283"/>
              <w:jc w:val="left"/>
              <w:rPr/>
            </w:pPr>
            <w:r>
              <w:rPr/>
              <w:t> </w:t>
            </w:r>
          </w:p>
        </w:tc>
        <w:tc>
          <w:tcPr>
            <w:tcW w:w="716" w:type="dxa"/>
            <w:tcBorders/>
            <w:vAlign w:val="center"/>
          </w:tcPr>
          <w:p>
            <w:pPr>
              <w:pStyle w:val="TableContents"/>
              <w:bidi w:val="0"/>
              <w:spacing w:before="0" w:after="283"/>
              <w:jc w:val="left"/>
              <w:rPr/>
            </w:pPr>
            <w:r>
              <w:rPr/>
              <w:t> </w:t>
            </w:r>
          </w:p>
        </w:tc>
        <w:tc>
          <w:tcPr>
            <w:tcW w:w="286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6" w:type="dxa"/>
            <w:tcBorders/>
            <w:vAlign w:val="center"/>
          </w:tcPr>
          <w:p>
            <w:pPr>
              <w:pStyle w:val="TableContents"/>
              <w:bidi w:val="0"/>
              <w:spacing w:before="0" w:after="283"/>
              <w:jc w:val="left"/>
              <w:rPr/>
            </w:pPr>
            <w:r>
              <w:rPr/>
              <w:t> </w:t>
            </w:r>
          </w:p>
        </w:tc>
        <w:tc>
          <w:tcPr>
            <w:tcW w:w="2864" w:type="dxa"/>
            <w:tcBorders/>
            <w:vAlign w:val="center"/>
          </w:tcPr>
          <w:p>
            <w:pPr>
              <w:pStyle w:val="TableContents"/>
              <w:bidi w:val="0"/>
              <w:spacing w:before="0" w:after="283"/>
              <w:jc w:val="right"/>
              <w:rPr/>
            </w:pPr>
            <w:r>
              <w:rPr/>
              <w:t> </w:t>
            </w:r>
          </w:p>
        </w:tc>
        <w:tc>
          <w:tcPr>
            <w:tcW w:w="113" w:type="dxa"/>
            <w:tcBorders/>
            <w:vAlign w:val="center"/>
          </w:tcPr>
          <w:p>
            <w:pPr>
              <w:pStyle w:val="TableContents"/>
              <w:bidi w:val="0"/>
              <w:spacing w:before="0" w:after="283"/>
              <w:jc w:val="left"/>
              <w:rPr/>
            </w:pPr>
            <w:r>
              <w:rPr/>
              <w:t> </w:t>
            </w:r>
            <w:bookmarkStart w:id="455" w:name="xdx_40B_ecustom--OperatingLeaseCostCompo"/>
            <w:bookmarkEnd w:id="455"/>
          </w:p>
        </w:tc>
      </w:tr>
      <w:tr>
        <w:trPr/>
        <w:tc>
          <w:tcPr>
            <w:tcW w:w="2752" w:type="dxa"/>
            <w:tcBorders/>
            <w:vAlign w:val="center"/>
          </w:tcPr>
          <w:p>
            <w:pPr>
              <w:pStyle w:val="TableContents"/>
              <w:bidi w:val="0"/>
              <w:spacing w:before="0" w:after="283"/>
              <w:jc w:val="left"/>
              <w:rPr/>
            </w:pPr>
            <w:r>
              <w:rPr/>
              <w:t>Operating lease cost components:</w:t>
            </w:r>
          </w:p>
        </w:tc>
        <w:tc>
          <w:tcPr>
            <w:tcW w:w="60" w:type="dxa"/>
            <w:tcBorders/>
            <w:vAlign w:val="center"/>
          </w:tcPr>
          <w:p>
            <w:pPr>
              <w:pStyle w:val="TableContents"/>
              <w:bidi w:val="0"/>
              <w:spacing w:before="0" w:after="283"/>
              <w:jc w:val="left"/>
              <w:rPr/>
            </w:pPr>
            <w:r>
              <w:rPr/>
              <w:t> </w:t>
            </w:r>
          </w:p>
        </w:tc>
        <w:tc>
          <w:tcPr>
            <w:tcW w:w="716" w:type="dxa"/>
            <w:tcBorders/>
            <w:vAlign w:val="center"/>
          </w:tcPr>
          <w:p>
            <w:pPr>
              <w:pStyle w:val="TableContents"/>
              <w:bidi w:val="0"/>
              <w:spacing w:before="0" w:after="283"/>
              <w:jc w:val="left"/>
              <w:rPr/>
            </w:pPr>
            <w:r>
              <w:rPr/>
              <w:t> </w:t>
            </w:r>
          </w:p>
        </w:tc>
        <w:tc>
          <w:tcPr>
            <w:tcW w:w="286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6" w:type="dxa"/>
            <w:tcBorders/>
            <w:vAlign w:val="center"/>
          </w:tcPr>
          <w:p>
            <w:pPr>
              <w:pStyle w:val="TableContents"/>
              <w:bidi w:val="0"/>
              <w:spacing w:before="0" w:after="283"/>
              <w:jc w:val="left"/>
              <w:rPr/>
            </w:pPr>
            <w:r>
              <w:rPr/>
              <w:t> </w:t>
            </w:r>
          </w:p>
        </w:tc>
        <w:tc>
          <w:tcPr>
            <w:tcW w:w="2864" w:type="dxa"/>
            <w:tcBorders/>
            <w:vAlign w:val="center"/>
          </w:tcPr>
          <w:p>
            <w:pPr>
              <w:pStyle w:val="TableContents"/>
              <w:bidi w:val="0"/>
              <w:spacing w:before="0" w:after="283"/>
              <w:jc w:val="right"/>
              <w:rPr/>
            </w:pPr>
            <w:r>
              <w:rPr/>
              <w:t> </w:t>
            </w:r>
          </w:p>
        </w:tc>
        <w:tc>
          <w:tcPr>
            <w:tcW w:w="113" w:type="dxa"/>
            <w:tcBorders/>
            <w:vAlign w:val="center"/>
          </w:tcPr>
          <w:p>
            <w:pPr>
              <w:pStyle w:val="TableContents"/>
              <w:bidi w:val="0"/>
              <w:spacing w:before="0" w:after="283"/>
              <w:jc w:val="left"/>
              <w:rPr/>
            </w:pPr>
            <w:r>
              <w:rPr/>
              <w:t> </w:t>
            </w:r>
            <w:bookmarkStart w:id="456" w:name="xdx_400_eus-gaap--OperatingLeaseCost_i02"/>
            <w:bookmarkEnd w:id="456"/>
          </w:p>
        </w:tc>
      </w:tr>
      <w:tr>
        <w:trPr/>
        <w:tc>
          <w:tcPr>
            <w:tcW w:w="2752" w:type="dxa"/>
            <w:tcBorders/>
            <w:shd w:fill="CCEEFF" w:val="clear"/>
            <w:vAlign w:val="center"/>
          </w:tcPr>
          <w:p>
            <w:pPr>
              <w:pStyle w:val="TableContents"/>
              <w:bidi w:val="0"/>
              <w:spacing w:before="0" w:after="283"/>
              <w:jc w:val="left"/>
              <w:rPr/>
            </w:pPr>
            <w:r>
              <w:rPr/>
              <w:t>Operating lease cost</w:t>
            </w:r>
          </w:p>
        </w:tc>
        <w:tc>
          <w:tcPr>
            <w:tcW w:w="60" w:type="dxa"/>
            <w:tcBorders/>
            <w:shd w:fill="CCEEFF" w:val="clear"/>
            <w:vAlign w:val="center"/>
          </w:tcPr>
          <w:p>
            <w:pPr>
              <w:pStyle w:val="TableContents"/>
              <w:bidi w:val="0"/>
              <w:spacing w:before="0" w:after="283"/>
              <w:jc w:val="left"/>
              <w:rPr/>
            </w:pPr>
            <w:r>
              <w:rPr/>
              <w:t> </w:t>
            </w:r>
          </w:p>
        </w:tc>
        <w:tc>
          <w:tcPr>
            <w:tcW w:w="716" w:type="dxa"/>
            <w:tcBorders/>
            <w:shd w:fill="CCEEFF" w:val="clear"/>
            <w:vAlign w:val="center"/>
          </w:tcPr>
          <w:p>
            <w:pPr>
              <w:pStyle w:val="TableContents"/>
              <w:bidi w:val="0"/>
              <w:spacing w:before="0" w:after="283"/>
              <w:jc w:val="left"/>
              <w:rPr/>
            </w:pPr>
            <w:r>
              <w:rPr/>
              <w:t> </w:t>
            </w:r>
          </w:p>
        </w:tc>
        <w:tc>
          <w:tcPr>
            <w:tcW w:w="2864" w:type="dxa"/>
            <w:tcBorders/>
            <w:shd w:fill="CCEEFF" w:val="clear"/>
            <w:vAlign w:val="center"/>
          </w:tcPr>
          <w:p>
            <w:pPr>
              <w:pStyle w:val="TableContents"/>
              <w:bidi w:val="0"/>
              <w:spacing w:before="0" w:after="283"/>
              <w:jc w:val="right"/>
              <w:rPr/>
            </w:pPr>
            <w:r>
              <w:rPr/>
              <w:t>2,126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6" w:type="dxa"/>
            <w:tcBorders/>
            <w:shd w:fill="CCEEFF" w:val="clear"/>
            <w:vAlign w:val="center"/>
          </w:tcPr>
          <w:p>
            <w:pPr>
              <w:pStyle w:val="TableContents"/>
              <w:bidi w:val="0"/>
              <w:spacing w:before="0" w:after="283"/>
              <w:jc w:val="left"/>
              <w:rPr/>
            </w:pPr>
            <w:r>
              <w:rPr/>
              <w:t> </w:t>
            </w:r>
          </w:p>
        </w:tc>
        <w:tc>
          <w:tcPr>
            <w:tcW w:w="2864" w:type="dxa"/>
            <w:tcBorders/>
            <w:shd w:fill="CCEEFF" w:val="clear"/>
            <w:vAlign w:val="center"/>
          </w:tcPr>
          <w:p>
            <w:pPr>
              <w:pStyle w:val="TableContents"/>
              <w:bidi w:val="0"/>
              <w:spacing w:before="0" w:after="283"/>
              <w:jc w:val="right"/>
              <w:rPr/>
            </w:pPr>
            <w:r>
              <w:rPr/>
              <w:t>1,944</w:t>
            </w:r>
          </w:p>
        </w:tc>
        <w:tc>
          <w:tcPr>
            <w:tcW w:w="113" w:type="dxa"/>
            <w:tcBorders/>
            <w:shd w:fill="CCEEFF" w:val="clear"/>
            <w:vAlign w:val="center"/>
          </w:tcPr>
          <w:p>
            <w:pPr>
              <w:pStyle w:val="TableContents"/>
              <w:bidi w:val="0"/>
              <w:spacing w:before="0" w:after="283"/>
              <w:jc w:val="left"/>
              <w:rPr/>
            </w:pPr>
            <w:r>
              <w:rPr/>
              <w:t> </w:t>
            </w:r>
            <w:bookmarkStart w:id="457" w:name="xdx_403_eus-gaap--VariableLeaseCost_i02_"/>
            <w:bookmarkEnd w:id="457"/>
          </w:p>
        </w:tc>
      </w:tr>
      <w:tr>
        <w:trPr/>
        <w:tc>
          <w:tcPr>
            <w:tcW w:w="2752" w:type="dxa"/>
            <w:tcBorders/>
            <w:shd w:fill="FFFFFF" w:val="clear"/>
            <w:vAlign w:val="center"/>
          </w:tcPr>
          <w:p>
            <w:pPr>
              <w:pStyle w:val="TableContents"/>
              <w:bidi w:val="0"/>
              <w:spacing w:before="0" w:after="283"/>
              <w:jc w:val="left"/>
              <w:rPr/>
            </w:pPr>
            <w:r>
              <w:rPr/>
              <w:t>Variable lease cost</w:t>
            </w:r>
          </w:p>
        </w:tc>
        <w:tc>
          <w:tcPr>
            <w:tcW w:w="60" w:type="dxa"/>
            <w:tcBorders/>
            <w:shd w:fill="FFFFFF" w:val="clear"/>
            <w:vAlign w:val="center"/>
          </w:tcPr>
          <w:p>
            <w:pPr>
              <w:pStyle w:val="TableContents"/>
              <w:bidi w:val="0"/>
              <w:spacing w:before="0" w:after="283"/>
              <w:jc w:val="left"/>
              <w:rPr/>
            </w:pPr>
            <w:r>
              <w:rPr/>
              <w:t> </w:t>
            </w:r>
          </w:p>
        </w:tc>
        <w:tc>
          <w:tcPr>
            <w:tcW w:w="716" w:type="dxa"/>
            <w:tcBorders/>
            <w:shd w:fill="FFFFFF" w:val="clear"/>
            <w:vAlign w:val="center"/>
          </w:tcPr>
          <w:p>
            <w:pPr>
              <w:pStyle w:val="TableContents"/>
              <w:bidi w:val="0"/>
              <w:spacing w:before="0" w:after="283"/>
              <w:jc w:val="left"/>
              <w:rPr/>
            </w:pPr>
            <w:r>
              <w:rPr/>
              <w:t> </w:t>
            </w:r>
          </w:p>
        </w:tc>
        <w:tc>
          <w:tcPr>
            <w:tcW w:w="2864" w:type="dxa"/>
            <w:tcBorders/>
            <w:shd w:fill="FFFFFF" w:val="clear"/>
            <w:vAlign w:val="center"/>
          </w:tcPr>
          <w:p>
            <w:pPr>
              <w:pStyle w:val="TableContents"/>
              <w:bidi w:val="0"/>
              <w:spacing w:before="0" w:after="283"/>
              <w:jc w:val="right"/>
              <w:rPr/>
            </w:pPr>
            <w:r>
              <w:rPr/>
              <w:t>949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6" w:type="dxa"/>
            <w:tcBorders/>
            <w:shd w:fill="FFFFFF" w:val="clear"/>
            <w:vAlign w:val="center"/>
          </w:tcPr>
          <w:p>
            <w:pPr>
              <w:pStyle w:val="TableContents"/>
              <w:bidi w:val="0"/>
              <w:spacing w:before="0" w:after="283"/>
              <w:jc w:val="left"/>
              <w:rPr/>
            </w:pPr>
            <w:r>
              <w:rPr/>
              <w:t> </w:t>
            </w:r>
          </w:p>
        </w:tc>
        <w:tc>
          <w:tcPr>
            <w:tcW w:w="2864" w:type="dxa"/>
            <w:tcBorders/>
            <w:shd w:fill="FFFFFF" w:val="clear"/>
            <w:vAlign w:val="center"/>
          </w:tcPr>
          <w:p>
            <w:pPr>
              <w:pStyle w:val="TableContents"/>
              <w:bidi w:val="0"/>
              <w:spacing w:before="0" w:after="283"/>
              <w:jc w:val="right"/>
              <w:rPr/>
            </w:pPr>
            <w:r>
              <w:rPr/>
              <w:t>684</w:t>
            </w:r>
          </w:p>
        </w:tc>
        <w:tc>
          <w:tcPr>
            <w:tcW w:w="113" w:type="dxa"/>
            <w:tcBorders/>
            <w:shd w:fill="FFFFFF" w:val="clear"/>
            <w:vAlign w:val="center"/>
          </w:tcPr>
          <w:p>
            <w:pPr>
              <w:pStyle w:val="TableContents"/>
              <w:bidi w:val="0"/>
              <w:spacing w:before="0" w:after="283"/>
              <w:jc w:val="left"/>
              <w:rPr/>
            </w:pPr>
            <w:r>
              <w:rPr/>
              <w:t> </w:t>
            </w:r>
            <w:bookmarkStart w:id="458" w:name="xdx_402_eus-gaap--ShortTermLeaseCost_i02"/>
            <w:bookmarkEnd w:id="458"/>
          </w:p>
        </w:tc>
      </w:tr>
      <w:tr>
        <w:trPr/>
        <w:tc>
          <w:tcPr>
            <w:tcW w:w="2752" w:type="dxa"/>
            <w:tcBorders/>
            <w:shd w:fill="CCEEFF" w:val="clear"/>
            <w:vAlign w:val="center"/>
          </w:tcPr>
          <w:p>
            <w:pPr>
              <w:pStyle w:val="TableContents"/>
              <w:bidi w:val="0"/>
              <w:spacing w:before="0" w:after="283"/>
              <w:jc w:val="left"/>
              <w:rPr/>
            </w:pPr>
            <w:r>
              <w:rPr/>
              <w:t>Short-term lease cost</w:t>
            </w:r>
          </w:p>
        </w:tc>
        <w:tc>
          <w:tcPr>
            <w:tcW w:w="60" w:type="dxa"/>
            <w:tcBorders/>
            <w:shd w:fill="CCEEFF" w:val="clear"/>
            <w:vAlign w:val="center"/>
          </w:tcPr>
          <w:p>
            <w:pPr>
              <w:pStyle w:val="TableContents"/>
              <w:bidi w:val="0"/>
              <w:spacing w:before="0" w:after="283"/>
              <w:jc w:val="left"/>
              <w:rPr/>
            </w:pPr>
            <w:r>
              <w:rPr/>
              <w:t> </w:t>
            </w:r>
          </w:p>
        </w:tc>
        <w:tc>
          <w:tcPr>
            <w:tcW w:w="716" w:type="dxa"/>
            <w:tcBorders/>
            <w:shd w:fill="CCEEFF" w:val="clear"/>
            <w:vAlign w:val="center"/>
          </w:tcPr>
          <w:p>
            <w:pPr>
              <w:pStyle w:val="TableContents"/>
              <w:bidi w:val="0"/>
              <w:spacing w:before="0" w:after="283"/>
              <w:jc w:val="left"/>
              <w:rPr/>
            </w:pPr>
            <w:r>
              <w:rPr/>
              <w:t> </w:t>
            </w:r>
          </w:p>
        </w:tc>
        <w:tc>
          <w:tcPr>
            <w:tcW w:w="2864" w:type="dxa"/>
            <w:tcBorders/>
            <w:shd w:fill="CCEEFF" w:val="clear"/>
            <w:vAlign w:val="center"/>
          </w:tcPr>
          <w:p>
            <w:pPr>
              <w:pStyle w:val="TableContents"/>
              <w:bidi w:val="0"/>
              <w:spacing w:before="0" w:after="283"/>
              <w:jc w:val="right"/>
              <w:rPr/>
            </w:pPr>
            <w:r>
              <w:rPr/>
              <w:t>494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6" w:type="dxa"/>
            <w:tcBorders/>
            <w:shd w:fill="CCEEFF" w:val="clear"/>
            <w:vAlign w:val="center"/>
          </w:tcPr>
          <w:p>
            <w:pPr>
              <w:pStyle w:val="TableContents"/>
              <w:bidi w:val="0"/>
              <w:spacing w:before="0" w:after="283"/>
              <w:jc w:val="left"/>
              <w:rPr/>
            </w:pPr>
            <w:r>
              <w:rPr/>
              <w:t> </w:t>
            </w:r>
          </w:p>
        </w:tc>
        <w:tc>
          <w:tcPr>
            <w:tcW w:w="2864" w:type="dxa"/>
            <w:tcBorders/>
            <w:shd w:fill="CCEEFF" w:val="clear"/>
            <w:vAlign w:val="center"/>
          </w:tcPr>
          <w:p>
            <w:pPr>
              <w:pStyle w:val="TableContents"/>
              <w:bidi w:val="0"/>
              <w:spacing w:before="0" w:after="283"/>
              <w:jc w:val="right"/>
              <w:rPr/>
            </w:pPr>
            <w:r>
              <w:rPr/>
              <w:t>334</w:t>
            </w:r>
          </w:p>
        </w:tc>
        <w:tc>
          <w:tcPr>
            <w:tcW w:w="113" w:type="dxa"/>
            <w:tcBorders/>
            <w:shd w:fill="CCEEFF" w:val="clear"/>
            <w:vAlign w:val="center"/>
          </w:tcPr>
          <w:p>
            <w:pPr>
              <w:pStyle w:val="TableContents"/>
              <w:bidi w:val="0"/>
              <w:spacing w:before="0" w:after="283"/>
              <w:jc w:val="left"/>
              <w:rPr/>
            </w:pPr>
            <w:r>
              <w:rPr/>
              <w:t> </w:t>
            </w:r>
            <w:bookmarkStart w:id="459" w:name="xdx_405_eus-gaap--SubleaseIncome_i02N_pn"/>
            <w:bookmarkEnd w:id="459"/>
          </w:p>
        </w:tc>
      </w:tr>
      <w:tr>
        <w:trPr/>
        <w:tc>
          <w:tcPr>
            <w:tcW w:w="2752" w:type="dxa"/>
            <w:tcBorders/>
            <w:shd w:fill="FFFFFF" w:val="clear"/>
            <w:vAlign w:val="center"/>
          </w:tcPr>
          <w:p>
            <w:pPr>
              <w:pStyle w:val="TableContents"/>
              <w:bidi w:val="0"/>
              <w:spacing w:before="0" w:after="283"/>
              <w:jc w:val="left"/>
              <w:rPr/>
            </w:pPr>
            <w:r>
              <w:rPr/>
              <w:t>Sub-lease income</w:t>
            </w:r>
          </w:p>
        </w:tc>
        <w:tc>
          <w:tcPr>
            <w:tcW w:w="60" w:type="dxa"/>
            <w:tcBorders/>
            <w:shd w:fill="FFFFFF" w:val="clear"/>
            <w:vAlign w:val="center"/>
          </w:tcPr>
          <w:p>
            <w:pPr>
              <w:pStyle w:val="TableContents"/>
              <w:bidi w:val="0"/>
              <w:spacing w:before="0" w:after="283"/>
              <w:jc w:val="left"/>
              <w:rPr/>
            </w:pPr>
            <w:r>
              <w:rPr/>
              <w:t> </w:t>
            </w:r>
          </w:p>
        </w:tc>
        <w:tc>
          <w:tcPr>
            <w:tcW w:w="71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86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864" w:type="dxa"/>
            <w:tcBorders>
              <w:bottom w:val="single" w:sz="8" w:space="0" w:color="000000"/>
            </w:tcBorders>
            <w:shd w:fill="FFFFFF" w:val="clear"/>
            <w:tcMar>
              <w:bottom w:w="28" w:type="dxa"/>
            </w:tcMar>
            <w:vAlign w:val="center"/>
          </w:tcPr>
          <w:p>
            <w:pPr>
              <w:pStyle w:val="TableContents"/>
              <w:bidi w:val="0"/>
              <w:spacing w:before="0" w:after="283"/>
              <w:jc w:val="right"/>
              <w:rPr/>
            </w:pPr>
            <w:r>
              <w:rPr/>
              <w:t>(511</w:t>
            </w:r>
          </w:p>
        </w:tc>
        <w:tc>
          <w:tcPr>
            <w:tcW w:w="113" w:type="dxa"/>
            <w:tcBorders/>
            <w:shd w:fill="FFFFFF" w:val="clear"/>
            <w:vAlign w:val="center"/>
          </w:tcPr>
          <w:p>
            <w:pPr>
              <w:pStyle w:val="TableContents"/>
              <w:bidi w:val="0"/>
              <w:spacing w:before="0" w:after="283"/>
              <w:jc w:val="left"/>
              <w:rPr/>
            </w:pPr>
            <w:r>
              <w:rPr/>
              <w:t>)</w:t>
            </w:r>
            <w:bookmarkStart w:id="460" w:name="xdx_403_ecustom--LeaseCostsOperating_i02"/>
            <w:bookmarkEnd w:id="460"/>
          </w:p>
        </w:tc>
      </w:tr>
      <w:tr>
        <w:trPr/>
        <w:tc>
          <w:tcPr>
            <w:tcW w:w="2752" w:type="dxa"/>
            <w:tcBorders/>
            <w:shd w:fill="CCEEFF" w:val="clear"/>
            <w:vAlign w:val="center"/>
          </w:tcPr>
          <w:p>
            <w:pPr>
              <w:pStyle w:val="TableContents"/>
              <w:bidi w:val="0"/>
              <w:spacing w:before="0" w:after="283"/>
              <w:jc w:val="left"/>
              <w:rPr/>
            </w:pPr>
            <w:r>
              <w:rPr/>
              <w:t> </w:t>
            </w:r>
            <w:r>
              <w:rPr/>
              <w:t>Total operating lease costs</w:t>
            </w:r>
          </w:p>
        </w:tc>
        <w:tc>
          <w:tcPr>
            <w:tcW w:w="60" w:type="dxa"/>
            <w:tcBorders/>
            <w:shd w:fill="CCEEFF" w:val="clear"/>
            <w:vAlign w:val="center"/>
          </w:tcPr>
          <w:p>
            <w:pPr>
              <w:pStyle w:val="TableContents"/>
              <w:bidi w:val="0"/>
              <w:spacing w:before="0" w:after="283"/>
              <w:jc w:val="left"/>
              <w:rPr/>
            </w:pPr>
            <w:r>
              <w:rPr/>
              <w:t> </w:t>
            </w:r>
          </w:p>
        </w:tc>
        <w:tc>
          <w:tcPr>
            <w:tcW w:w="71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864" w:type="dxa"/>
            <w:tcBorders>
              <w:bottom w:val="single" w:sz="8" w:space="0" w:color="000000"/>
            </w:tcBorders>
            <w:shd w:fill="CCEEFF" w:val="clear"/>
            <w:tcMar>
              <w:bottom w:w="28" w:type="dxa"/>
            </w:tcMar>
            <w:vAlign w:val="center"/>
          </w:tcPr>
          <w:p>
            <w:pPr>
              <w:pStyle w:val="TableContents"/>
              <w:bidi w:val="0"/>
              <w:spacing w:before="0" w:after="283"/>
              <w:jc w:val="right"/>
              <w:rPr/>
            </w:pPr>
            <w:r>
              <w:rPr/>
              <w:t>3,569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864" w:type="dxa"/>
            <w:tcBorders>
              <w:bottom w:val="single" w:sz="8" w:space="0" w:color="000000"/>
            </w:tcBorders>
            <w:shd w:fill="CCEEFF" w:val="clear"/>
            <w:tcMar>
              <w:bottom w:w="28" w:type="dxa"/>
            </w:tcMar>
            <w:vAlign w:val="center"/>
          </w:tcPr>
          <w:p>
            <w:pPr>
              <w:pStyle w:val="TableContents"/>
              <w:bidi w:val="0"/>
              <w:spacing w:before="0" w:after="283"/>
              <w:jc w:val="right"/>
              <w:rPr/>
            </w:pPr>
            <w:r>
              <w:rPr/>
              <w:t>2,451</w:t>
            </w:r>
          </w:p>
        </w:tc>
        <w:tc>
          <w:tcPr>
            <w:tcW w:w="113" w:type="dxa"/>
            <w:tcBorders/>
            <w:shd w:fill="CCEEFF" w:val="clear"/>
            <w:vAlign w:val="center"/>
          </w:tcPr>
          <w:p>
            <w:pPr>
              <w:pStyle w:val="TableContents"/>
              <w:bidi w:val="0"/>
              <w:spacing w:before="0" w:after="283"/>
              <w:jc w:val="left"/>
              <w:rPr/>
            </w:pPr>
            <w:r>
              <w:rPr/>
              <w:t> </w:t>
            </w:r>
            <w:bookmarkStart w:id="461" w:name="xdx_406_eus-gaap--LeaseCost_i01T_pn3n3_m"/>
            <w:bookmarkEnd w:id="461"/>
          </w:p>
        </w:tc>
      </w:tr>
      <w:tr>
        <w:trPr/>
        <w:tc>
          <w:tcPr>
            <w:tcW w:w="2752" w:type="dxa"/>
            <w:tcBorders/>
            <w:shd w:fill="FFFFFF" w:val="clear"/>
            <w:vAlign w:val="center"/>
          </w:tcPr>
          <w:p>
            <w:pPr>
              <w:pStyle w:val="TableContents"/>
              <w:bidi w:val="0"/>
              <w:spacing w:before="0" w:after="283"/>
              <w:jc w:val="left"/>
              <w:rPr/>
            </w:pPr>
            <w:r>
              <w:rPr/>
              <w:t>Total lease cost</w:t>
            </w:r>
          </w:p>
        </w:tc>
        <w:tc>
          <w:tcPr>
            <w:tcW w:w="60" w:type="dxa"/>
            <w:tcBorders/>
            <w:shd w:fill="FFFFFF" w:val="clear"/>
            <w:vAlign w:val="center"/>
          </w:tcPr>
          <w:p>
            <w:pPr>
              <w:pStyle w:val="TableContents"/>
              <w:bidi w:val="0"/>
              <w:spacing w:before="0" w:after="283"/>
              <w:jc w:val="left"/>
              <w:rPr/>
            </w:pPr>
            <w:r>
              <w:rPr/>
              <w:t> </w:t>
            </w:r>
          </w:p>
        </w:tc>
        <w:tc>
          <w:tcPr>
            <w:tcW w:w="71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2864" w:type="dxa"/>
            <w:tcBorders>
              <w:bottom w:val="double" w:sz="6" w:space="0" w:color="000000"/>
            </w:tcBorders>
            <w:shd w:fill="FFFFFF" w:val="clear"/>
            <w:tcMar>
              <w:bottom w:w="28" w:type="dxa"/>
            </w:tcMar>
            <w:vAlign w:val="center"/>
          </w:tcPr>
          <w:p>
            <w:pPr>
              <w:pStyle w:val="TableContents"/>
              <w:bidi w:val="0"/>
              <w:spacing w:before="0" w:after="283"/>
              <w:jc w:val="right"/>
              <w:rPr/>
            </w:pPr>
            <w:r>
              <w:rPr/>
              <w:t>3,569</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71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2864" w:type="dxa"/>
            <w:tcBorders>
              <w:bottom w:val="double" w:sz="6" w:space="0" w:color="000000"/>
            </w:tcBorders>
            <w:shd w:fill="FFFFFF" w:val="clear"/>
            <w:tcMar>
              <w:bottom w:w="28" w:type="dxa"/>
            </w:tcMar>
            <w:vAlign w:val="center"/>
          </w:tcPr>
          <w:p>
            <w:pPr>
              <w:pStyle w:val="TableContents"/>
              <w:bidi w:val="0"/>
              <w:spacing w:before="0" w:after="283"/>
              <w:jc w:val="right"/>
              <w:rPr/>
            </w:pPr>
            <w:r>
              <w:rPr/>
              <w:t>2,451</w:t>
            </w:r>
          </w:p>
        </w:tc>
        <w:tc>
          <w:tcPr>
            <w:tcW w:w="113"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bookmarkStart w:id="462" w:name="xdx_8A4_zKD9tE5li0pd"/>
      <w:bookmarkEnd w:id="462"/>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F-14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bookmarkStart w:id="463" w:name="xdx_8B0_zuvLVCDJ62D"/>
      <w:bookmarkStart w:id="464" w:name="xdx_89B_ecustom--SummaryOfSupplementalCa"/>
      <w:bookmarkEnd w:id="463"/>
      <w:bookmarkEnd w:id="464"/>
      <w:r>
        <w:rPr>
          <w:rFonts w:ascii="Times New Roman;Times;Serif" w:hAnsi="Times New Roman;Times;Serif"/>
          <w:b w:val="false"/>
          <w:i w:val="false"/>
          <w:caps w:val="false"/>
          <w:smallCaps w:val="false"/>
          <w:sz w:val="20"/>
        </w:rPr>
        <w:t>Supplemental cash flow information related to leases is as follows for the years ended December 31, 2025 and 2024:</w:t>
      </w:r>
    </w:p>
    <w:p>
      <w:pPr>
        <w:pStyle w:val="TextBody"/>
        <w:bidi w:val="0"/>
        <w:spacing w:before="0" w:after="0"/>
        <w:ind w:left="0" w:right="0" w:firstLine="720"/>
        <w:jc w:val="both"/>
        <w:rPr>
          <w:caps w:val="false"/>
          <w:smallCaps w:val="false"/>
        </w:rPr>
      </w:pPr>
      <w:r>
        <w:rPr>
          <w:caps w:val="false"/>
          <w:smallCaps w:val="false"/>
        </w:rPr>
        <w:t> </w:t>
      </w:r>
    </w:p>
    <w:tbl>
      <w:tblPr>
        <w:tblW w:w="8630" w:type="dxa"/>
        <w:jc w:val="left"/>
        <w:tblInd w:w="0" w:type="dxa"/>
        <w:tblLayout w:type="fixed"/>
        <w:tblCellMar>
          <w:top w:w="0" w:type="dxa"/>
          <w:left w:w="0" w:type="dxa"/>
          <w:bottom w:w="0" w:type="dxa"/>
          <w:right w:w="0" w:type="dxa"/>
        </w:tblCellMar>
      </w:tblPr>
      <w:tblGrid>
        <w:gridCol w:w="6665"/>
        <w:gridCol w:w="60"/>
        <w:gridCol w:w="140"/>
        <w:gridCol w:w="560"/>
        <w:gridCol w:w="215"/>
        <w:gridCol w:w="60"/>
        <w:gridCol w:w="140"/>
        <w:gridCol w:w="560"/>
        <w:gridCol w:w="230"/>
      </w:tblGrid>
      <w:tr>
        <w:trPr/>
        <w:tc>
          <w:tcPr>
            <w:tcW w:w="6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230" w:type="dxa"/>
            <w:tcBorders/>
            <w:vAlign w:val="center"/>
          </w:tcPr>
          <w:p>
            <w:pPr>
              <w:pStyle w:val="TableContents"/>
              <w:bidi w:val="0"/>
              <w:spacing w:before="0" w:after="283"/>
              <w:jc w:val="left"/>
              <w:rPr/>
            </w:pPr>
            <w:r>
              <w:rPr/>
              <w:t> </w:t>
            </w:r>
          </w:p>
        </w:tc>
      </w:tr>
      <w:tr>
        <w:trPr/>
        <w:tc>
          <w:tcPr>
            <w:tcW w:w="6665" w:type="dxa"/>
            <w:tcBorders/>
            <w:vAlign w:val="center"/>
          </w:tcPr>
          <w:p>
            <w:pPr>
              <w:pStyle w:val="TableContents"/>
              <w:bidi w:val="0"/>
              <w:spacing w:before="0" w:after="283"/>
              <w:jc w:val="left"/>
              <w:rPr/>
            </w:pPr>
            <w:r>
              <w:rPr/>
              <w:t>Cash paid for amounts included in the measurement of lease liabilities: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 </w:t>
            </w:r>
          </w:p>
        </w:tc>
        <w:tc>
          <w:tcPr>
            <w:tcW w:w="230" w:type="dxa"/>
            <w:tcBorders/>
            <w:vAlign w:val="center"/>
          </w:tcPr>
          <w:p>
            <w:pPr>
              <w:pStyle w:val="TableContents"/>
              <w:bidi w:val="0"/>
              <w:spacing w:before="0" w:after="283"/>
              <w:jc w:val="left"/>
              <w:rPr/>
            </w:pPr>
            <w:r>
              <w:rPr/>
              <w:t> </w:t>
            </w:r>
          </w:p>
        </w:tc>
      </w:tr>
      <w:tr>
        <w:trPr/>
        <w:tc>
          <w:tcPr>
            <w:tcW w:w="6665" w:type="dxa"/>
            <w:tcBorders/>
            <w:shd w:fill="CCEEFF" w:val="clear"/>
            <w:vAlign w:val="center"/>
          </w:tcPr>
          <w:p>
            <w:pPr>
              <w:pStyle w:val="TableContents"/>
              <w:bidi w:val="0"/>
              <w:spacing w:before="0" w:after="283"/>
              <w:jc w:val="left"/>
              <w:rPr/>
            </w:pPr>
            <w:r>
              <w:rPr/>
              <w:t>Operating cash outflow from operating leases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465" w:name="xdx_98C_eus-gaap--OperatingLeasePayments"/>
            <w:bookmarkEnd w:id="465"/>
          </w:p>
        </w:tc>
        <w:tc>
          <w:tcPr>
            <w:tcW w:w="560" w:type="dxa"/>
            <w:tcBorders/>
            <w:shd w:fill="CCEEFF" w:val="clear"/>
            <w:vAlign w:val="center"/>
          </w:tcPr>
          <w:p>
            <w:pPr>
              <w:pStyle w:val="TableContents"/>
              <w:bidi w:val="0"/>
              <w:spacing w:before="0" w:after="283"/>
              <w:jc w:val="right"/>
              <w:rPr/>
            </w:pPr>
            <w:r>
              <w:rPr/>
              <w:t>2,363</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466" w:name="xdx_98F_eus-gaap--OperatingLeasePayments"/>
            <w:bookmarkEnd w:id="466"/>
          </w:p>
        </w:tc>
        <w:tc>
          <w:tcPr>
            <w:tcW w:w="560" w:type="dxa"/>
            <w:tcBorders/>
            <w:shd w:fill="CCEEFF" w:val="clear"/>
            <w:vAlign w:val="center"/>
          </w:tcPr>
          <w:p>
            <w:pPr>
              <w:pStyle w:val="TableContents"/>
              <w:bidi w:val="0"/>
              <w:spacing w:before="0" w:after="283"/>
              <w:jc w:val="right"/>
              <w:rPr/>
            </w:pPr>
            <w:r>
              <w:rPr/>
              <w:t>2,115</w:t>
            </w:r>
          </w:p>
        </w:tc>
        <w:tc>
          <w:tcPr>
            <w:tcW w:w="230" w:type="dxa"/>
            <w:tcBorders/>
            <w:shd w:fill="CCEEFF" w:val="clear"/>
            <w:vAlign w:val="center"/>
          </w:tcPr>
          <w:p>
            <w:pPr>
              <w:pStyle w:val="TableContents"/>
              <w:bidi w:val="0"/>
              <w:spacing w:before="0" w:after="283"/>
              <w:jc w:val="left"/>
              <w:rPr/>
            </w:pPr>
            <w:r>
              <w:rPr/>
              <w:t> </w:t>
            </w:r>
          </w:p>
        </w:tc>
      </w:tr>
      <w:tr>
        <w:trPr/>
        <w:tc>
          <w:tcPr>
            <w:tcW w:w="66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6665" w:type="dxa"/>
            <w:tcBorders/>
            <w:shd w:fill="CCEEFF" w:val="clear"/>
            <w:vAlign w:val="center"/>
          </w:tcPr>
          <w:p>
            <w:pPr>
              <w:pStyle w:val="TableContents"/>
              <w:bidi w:val="0"/>
              <w:spacing w:before="0" w:after="283"/>
              <w:jc w:val="left"/>
              <w:rPr/>
            </w:pPr>
            <w:r>
              <w:rPr/>
              <w:t>Lease liabilities arising from obtaining right-of-use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467" w:name="xdx_983_eus-gaap--RightOfUseAssetObtaine"/>
            <w:bookmarkEnd w:id="467"/>
          </w:p>
        </w:tc>
        <w:tc>
          <w:tcPr>
            <w:tcW w:w="560" w:type="dxa"/>
            <w:tcBorders/>
            <w:shd w:fill="CCEEFF" w:val="clear"/>
            <w:vAlign w:val="center"/>
          </w:tcPr>
          <w:p>
            <w:pPr>
              <w:pStyle w:val="TableContents"/>
              <w:bidi w:val="0"/>
              <w:spacing w:before="0" w:after="283"/>
              <w:jc w:val="right"/>
              <w:rPr/>
            </w:pPr>
            <w:r>
              <w:rPr/>
              <w:t>430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468" w:name="xdx_983_eus-gaap--RightOfUseAssetObtaine"/>
            <w:bookmarkEnd w:id="468"/>
          </w:p>
        </w:tc>
        <w:tc>
          <w:tcPr>
            <w:tcW w:w="560" w:type="dxa"/>
            <w:tcBorders/>
            <w:shd w:fill="CCEEFF" w:val="clear"/>
            <w:vAlign w:val="center"/>
          </w:tcPr>
          <w:p>
            <w:pPr>
              <w:pStyle w:val="TableContents"/>
              <w:bidi w:val="0"/>
              <w:spacing w:before="0" w:after="283"/>
              <w:jc w:val="right"/>
              <w:rPr/>
            </w:pPr>
            <w:r>
              <w:rPr/>
              <w:t>1,019</w:t>
            </w:r>
          </w:p>
        </w:tc>
        <w:tc>
          <w:tcPr>
            <w:tcW w:w="230" w:type="dxa"/>
            <w:tcBorders/>
            <w:shd w:fill="CCEEFF" w:val="clear"/>
            <w:vAlign w:val="center"/>
          </w:tcPr>
          <w:p>
            <w:pPr>
              <w:pStyle w:val="TableContents"/>
              <w:bidi w:val="0"/>
              <w:spacing w:before="0" w:after="283"/>
              <w:jc w:val="left"/>
              <w:rPr/>
            </w:pPr>
            <w:r>
              <w:rPr/>
              <w:t> </w:t>
            </w:r>
          </w:p>
        </w:tc>
      </w:tr>
      <w:tr>
        <w:trPr/>
        <w:tc>
          <w:tcPr>
            <w:tcW w:w="6665" w:type="dxa"/>
            <w:tcBorders/>
            <w:shd w:fill="FFFFFF" w:val="clear"/>
            <w:vAlign w:val="center"/>
          </w:tcPr>
          <w:p>
            <w:pPr>
              <w:pStyle w:val="TableContents"/>
              <w:bidi w:val="0"/>
              <w:spacing w:before="0" w:after="283"/>
              <w:jc w:val="left"/>
              <w:rPr/>
            </w:pPr>
            <w:r>
              <w:rPr/>
              <w:t>Weighted-average remaining lease term-operating leases (in years)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bookmarkStart w:id="469" w:name="xdx_90C_eus-gaap--LesseeOperatingLeaseRe"/>
            <w:bookmarkEnd w:id="469"/>
            <w:r>
              <w:rPr/>
              <w:t>6.01</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bookmarkStart w:id="470" w:name="xdx_902_eus-gaap--LesseeOperatingLeaseRe"/>
            <w:bookmarkEnd w:id="470"/>
            <w:r>
              <w:rPr/>
              <w:t>6.8</w:t>
            </w:r>
          </w:p>
        </w:tc>
        <w:tc>
          <w:tcPr>
            <w:tcW w:w="230" w:type="dxa"/>
            <w:tcBorders/>
            <w:shd w:fill="FFFFFF" w:val="clear"/>
            <w:vAlign w:val="center"/>
          </w:tcPr>
          <w:p>
            <w:pPr>
              <w:pStyle w:val="TableContents"/>
              <w:bidi w:val="0"/>
              <w:spacing w:before="0" w:after="283"/>
              <w:jc w:val="left"/>
              <w:rPr/>
            </w:pPr>
            <w:r>
              <w:rPr/>
              <w:t> </w:t>
            </w:r>
          </w:p>
        </w:tc>
      </w:tr>
      <w:tr>
        <w:trPr/>
        <w:tc>
          <w:tcPr>
            <w:tcW w:w="6665" w:type="dxa"/>
            <w:tcBorders/>
            <w:shd w:fill="CCEEFF" w:val="clear"/>
            <w:vAlign w:val="center"/>
          </w:tcPr>
          <w:p>
            <w:pPr>
              <w:pStyle w:val="TableContents"/>
              <w:bidi w:val="0"/>
              <w:spacing w:before="0" w:after="283"/>
              <w:jc w:val="left"/>
              <w:rPr/>
            </w:pPr>
            <w:r>
              <w:rPr/>
              <w:t>Weighted-average discount rate-operating leases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bookmarkStart w:id="471" w:name="xdx_908_eus-gaap--OperatingLeaseWeighted"/>
            <w:bookmarkEnd w:id="471"/>
            <w:r>
              <w:rPr/>
              <w:t>7.36</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bookmarkStart w:id="472" w:name="xdx_909_eus-gaap--OperatingLeaseWeighted"/>
            <w:bookmarkEnd w:id="472"/>
            <w:r>
              <w:rPr/>
              <w:t>7.6</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firstLine="720"/>
        <w:jc w:val="both"/>
        <w:rPr>
          <w:caps w:val="false"/>
          <w:smallCaps w:val="false"/>
        </w:rPr>
      </w:pPr>
      <w:bookmarkStart w:id="473" w:name="xdx_8A7_zZVed9vGD7Of"/>
      <w:bookmarkEnd w:id="473"/>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bookmarkStart w:id="474" w:name="xdx_8BA_zXpUt4IvtPA1"/>
      <w:bookmarkStart w:id="475" w:name="xdx_895_eus-gaap--LesseeOperatingLeaseLi"/>
      <w:bookmarkEnd w:id="474"/>
      <w:bookmarkEnd w:id="475"/>
      <w:r>
        <w:rPr>
          <w:rFonts w:ascii="Times New Roman;Times;Serif" w:hAnsi="Times New Roman;Times;Serif"/>
          <w:b w:val="false"/>
          <w:i w:val="false"/>
          <w:caps w:val="false"/>
          <w:smallCaps w:val="false"/>
          <w:sz w:val="20"/>
        </w:rPr>
        <w:t>The future maturities of the Company’s operating leases as of December 31, 2025 are as follows:</w:t>
      </w:r>
    </w:p>
    <w:p>
      <w:pPr>
        <w:pStyle w:val="TextBody"/>
        <w:bidi w:val="0"/>
        <w:spacing w:before="0" w:after="0"/>
        <w:ind w:left="0" w:right="0" w:firstLine="720"/>
        <w:jc w:val="both"/>
        <w:rPr>
          <w:caps w:val="false"/>
          <w:smallCaps w:val="false"/>
        </w:rPr>
      </w:pPr>
      <w:r>
        <w:rPr>
          <w:caps w:val="false"/>
          <w:smallCaps w:val="false"/>
        </w:rPr>
        <w:t> </w:t>
      </w:r>
    </w:p>
    <w:tbl>
      <w:tblPr>
        <w:tblW w:w="3770" w:type="dxa"/>
        <w:jc w:val="left"/>
        <w:tblInd w:w="0" w:type="dxa"/>
        <w:tblLayout w:type="fixed"/>
        <w:tblCellMar>
          <w:top w:w="0" w:type="dxa"/>
          <w:left w:w="0" w:type="dxa"/>
          <w:bottom w:w="0" w:type="dxa"/>
          <w:right w:w="0" w:type="dxa"/>
        </w:tblCellMar>
      </w:tblPr>
      <w:tblGrid>
        <w:gridCol w:w="2840"/>
        <w:gridCol w:w="60"/>
        <w:gridCol w:w="60"/>
        <w:gridCol w:w="125"/>
        <w:gridCol w:w="590"/>
        <w:gridCol w:w="95"/>
      </w:tblGrid>
      <w:tr>
        <w:trPr/>
        <w:tc>
          <w:tcPr>
            <w:tcW w:w="2840" w:type="dxa"/>
            <w:tcBorders/>
            <w:shd w:fill="CCEEFF" w:val="clear"/>
            <w:vAlign w:val="center"/>
          </w:tcPr>
          <w:p>
            <w:pPr>
              <w:pStyle w:val="TableContents"/>
              <w:bidi w:val="0"/>
              <w:spacing w:before="0" w:after="283"/>
              <w:jc w:val="left"/>
              <w:rPr>
                <w:sz w:val="20"/>
              </w:rPr>
            </w:pPr>
            <w:r>
              <w:rPr>
                <w:sz w:val="20"/>
              </w:rPr>
              <w:t>2026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bookmarkStart w:id="476" w:name="xdx_989_eus-gaap--LesseeOperatingLeaseLi"/>
            <w:bookmarkEnd w:id="476"/>
          </w:p>
        </w:tc>
        <w:tc>
          <w:tcPr>
            <w:tcW w:w="590" w:type="dxa"/>
            <w:tcBorders/>
            <w:shd w:fill="CCEEFF" w:val="clear"/>
            <w:vAlign w:val="center"/>
          </w:tcPr>
          <w:p>
            <w:pPr>
              <w:pStyle w:val="TableContents"/>
              <w:bidi w:val="0"/>
              <w:spacing w:before="0" w:after="283"/>
              <w:jc w:val="right"/>
              <w:rPr>
                <w:sz w:val="20"/>
              </w:rPr>
            </w:pPr>
            <w:r>
              <w:rPr>
                <w:sz w:val="20"/>
              </w:rPr>
              <w:t>1,863</w:t>
            </w:r>
          </w:p>
        </w:tc>
        <w:tc>
          <w:tcPr>
            <w:tcW w:w="95" w:type="dxa"/>
            <w:tcBorders/>
            <w:shd w:fill="CCEEFF" w:val="clear"/>
            <w:vAlign w:val="center"/>
          </w:tcPr>
          <w:p>
            <w:pPr>
              <w:pStyle w:val="TableContents"/>
              <w:bidi w:val="0"/>
              <w:spacing w:before="0" w:after="283"/>
              <w:jc w:val="left"/>
              <w:rPr/>
            </w:pPr>
            <w:r>
              <w:rPr/>
              <w:t> </w:t>
            </w:r>
          </w:p>
        </w:tc>
      </w:tr>
      <w:tr>
        <w:trPr/>
        <w:tc>
          <w:tcPr>
            <w:tcW w:w="2840" w:type="dxa"/>
            <w:tcBorders/>
            <w:vAlign w:val="center"/>
          </w:tcPr>
          <w:p>
            <w:pPr>
              <w:pStyle w:val="TableContents"/>
              <w:bidi w:val="0"/>
              <w:spacing w:before="0" w:after="283"/>
              <w:jc w:val="left"/>
              <w:rPr>
                <w:sz w:val="20"/>
              </w:rPr>
            </w:pPr>
            <w:r>
              <w:rPr>
                <w:sz w:val="20"/>
              </w:rPr>
              <w:t>2027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bookmarkStart w:id="477" w:name="xdx_981_eus-gaap--LesseeOperatingLeaseLi"/>
            <w:bookmarkEnd w:id="477"/>
          </w:p>
        </w:tc>
        <w:tc>
          <w:tcPr>
            <w:tcW w:w="590" w:type="dxa"/>
            <w:tcBorders/>
            <w:vAlign w:val="center"/>
          </w:tcPr>
          <w:p>
            <w:pPr>
              <w:pStyle w:val="TableContents"/>
              <w:bidi w:val="0"/>
              <w:spacing w:before="0" w:after="283"/>
              <w:jc w:val="right"/>
              <w:rPr>
                <w:sz w:val="20"/>
              </w:rPr>
            </w:pPr>
            <w:r>
              <w:rPr>
                <w:sz w:val="20"/>
              </w:rPr>
              <w:t>1,990</w:t>
            </w:r>
          </w:p>
        </w:tc>
        <w:tc>
          <w:tcPr>
            <w:tcW w:w="95" w:type="dxa"/>
            <w:tcBorders/>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283"/>
              <w:jc w:val="left"/>
              <w:rPr>
                <w:sz w:val="20"/>
              </w:rPr>
            </w:pPr>
            <w:r>
              <w:rPr>
                <w:sz w:val="20"/>
              </w:rPr>
              <w:t>2028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bookmarkStart w:id="478" w:name="xdx_989_eus-gaap--LesseeOperatingLeaseLi"/>
            <w:bookmarkEnd w:id="478"/>
          </w:p>
        </w:tc>
        <w:tc>
          <w:tcPr>
            <w:tcW w:w="590" w:type="dxa"/>
            <w:tcBorders/>
            <w:shd w:fill="CCEEFF" w:val="clear"/>
            <w:vAlign w:val="center"/>
          </w:tcPr>
          <w:p>
            <w:pPr>
              <w:pStyle w:val="TableContents"/>
              <w:bidi w:val="0"/>
              <w:spacing w:before="0" w:after="283"/>
              <w:jc w:val="right"/>
              <w:rPr>
                <w:sz w:val="20"/>
              </w:rPr>
            </w:pPr>
            <w:r>
              <w:rPr>
                <w:sz w:val="20"/>
              </w:rPr>
              <w:t>1,612</w:t>
            </w:r>
          </w:p>
        </w:tc>
        <w:tc>
          <w:tcPr>
            <w:tcW w:w="95" w:type="dxa"/>
            <w:tcBorders/>
            <w:shd w:fill="CCEEFF" w:val="clear"/>
            <w:vAlign w:val="center"/>
          </w:tcPr>
          <w:p>
            <w:pPr>
              <w:pStyle w:val="TableContents"/>
              <w:bidi w:val="0"/>
              <w:spacing w:before="0" w:after="283"/>
              <w:jc w:val="left"/>
              <w:rPr/>
            </w:pPr>
            <w:r>
              <w:rPr/>
              <w:t> </w:t>
            </w:r>
          </w:p>
        </w:tc>
      </w:tr>
      <w:tr>
        <w:trPr/>
        <w:tc>
          <w:tcPr>
            <w:tcW w:w="2840" w:type="dxa"/>
            <w:tcBorders/>
            <w:vAlign w:val="center"/>
          </w:tcPr>
          <w:p>
            <w:pPr>
              <w:pStyle w:val="TableContents"/>
              <w:bidi w:val="0"/>
              <w:spacing w:before="0" w:after="283"/>
              <w:jc w:val="left"/>
              <w:rPr>
                <w:sz w:val="20"/>
              </w:rPr>
            </w:pPr>
            <w:r>
              <w:rPr>
                <w:sz w:val="20"/>
              </w:rPr>
              <w:t>2029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bookmarkStart w:id="479" w:name="xdx_98C_eus-gaap--LesseeOperatingLeaseLi"/>
            <w:bookmarkEnd w:id="479"/>
          </w:p>
        </w:tc>
        <w:tc>
          <w:tcPr>
            <w:tcW w:w="590" w:type="dxa"/>
            <w:tcBorders/>
            <w:vAlign w:val="center"/>
          </w:tcPr>
          <w:p>
            <w:pPr>
              <w:pStyle w:val="TableContents"/>
              <w:bidi w:val="0"/>
              <w:spacing w:before="0" w:after="283"/>
              <w:jc w:val="right"/>
              <w:rPr>
                <w:sz w:val="20"/>
              </w:rPr>
            </w:pPr>
            <w:r>
              <w:rPr>
                <w:sz w:val="20"/>
              </w:rPr>
              <w:t>1,616</w:t>
            </w:r>
          </w:p>
        </w:tc>
        <w:tc>
          <w:tcPr>
            <w:tcW w:w="95" w:type="dxa"/>
            <w:tcBorders/>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283"/>
              <w:jc w:val="left"/>
              <w:rPr>
                <w:sz w:val="20"/>
              </w:rPr>
            </w:pPr>
            <w:r>
              <w:rPr>
                <w:sz w:val="20"/>
              </w:rPr>
              <w:t>2030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bookmarkStart w:id="480" w:name="xdx_982_eus-gaap--LesseeOperatingLeaseLi"/>
            <w:bookmarkEnd w:id="480"/>
          </w:p>
        </w:tc>
        <w:tc>
          <w:tcPr>
            <w:tcW w:w="590" w:type="dxa"/>
            <w:tcBorders/>
            <w:shd w:fill="CCEEFF" w:val="clear"/>
            <w:vAlign w:val="center"/>
          </w:tcPr>
          <w:p>
            <w:pPr>
              <w:pStyle w:val="TableContents"/>
              <w:bidi w:val="0"/>
              <w:spacing w:before="0" w:after="283"/>
              <w:jc w:val="right"/>
              <w:rPr>
                <w:sz w:val="20"/>
              </w:rPr>
            </w:pPr>
            <w:r>
              <w:rPr>
                <w:sz w:val="20"/>
              </w:rPr>
              <w:t>1,639</w:t>
            </w:r>
          </w:p>
        </w:tc>
        <w:tc>
          <w:tcPr>
            <w:tcW w:w="95" w:type="dxa"/>
            <w:tcBorders/>
            <w:shd w:fill="CCEEFF" w:val="clear"/>
            <w:vAlign w:val="center"/>
          </w:tcPr>
          <w:p>
            <w:pPr>
              <w:pStyle w:val="TableContents"/>
              <w:bidi w:val="0"/>
              <w:spacing w:before="0" w:after="283"/>
              <w:jc w:val="left"/>
              <w:rPr/>
            </w:pPr>
            <w:r>
              <w:rPr/>
              <w:t> </w:t>
            </w:r>
          </w:p>
        </w:tc>
      </w:tr>
      <w:tr>
        <w:trPr/>
        <w:tc>
          <w:tcPr>
            <w:tcW w:w="2840" w:type="dxa"/>
            <w:tcBorders>
              <w:bottom w:val="single" w:sz="8" w:space="0" w:color="000000"/>
            </w:tcBorders>
            <w:tcMar>
              <w:bottom w:w="28" w:type="dxa"/>
            </w:tcMar>
            <w:vAlign w:val="center"/>
          </w:tcPr>
          <w:p>
            <w:pPr>
              <w:pStyle w:val="TableContents"/>
              <w:bidi w:val="0"/>
              <w:spacing w:before="0" w:after="283"/>
              <w:jc w:val="left"/>
              <w:rPr>
                <w:sz w:val="20"/>
              </w:rPr>
            </w:pPr>
            <w:r>
              <w:rPr>
                <w:sz w:val="20"/>
              </w:rPr>
              <w:t>Thereafter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single" w:sz="8" w:space="0" w:color="000000"/>
            </w:tcBorders>
            <w:tcMar>
              <w:bottom w:w="28" w:type="dxa"/>
            </w:tcMar>
            <w:vAlign w:val="center"/>
          </w:tcPr>
          <w:p>
            <w:pPr>
              <w:pStyle w:val="TableContents"/>
              <w:bidi w:val="0"/>
              <w:spacing w:before="0" w:after="283"/>
              <w:jc w:val="left"/>
              <w:rPr/>
            </w:pPr>
            <w:r>
              <w:rPr/>
              <w:t> </w:t>
            </w:r>
            <w:bookmarkStart w:id="481" w:name="xdx_987_eus-gaap--LesseeOperatingLeaseLi"/>
            <w:bookmarkEnd w:id="481"/>
          </w:p>
        </w:tc>
        <w:tc>
          <w:tcPr>
            <w:tcW w:w="590" w:type="dxa"/>
            <w:tcBorders>
              <w:bottom w:val="single" w:sz="8" w:space="0" w:color="000000"/>
            </w:tcBorders>
            <w:tcMar>
              <w:bottom w:w="28" w:type="dxa"/>
            </w:tcMar>
            <w:vAlign w:val="center"/>
          </w:tcPr>
          <w:p>
            <w:pPr>
              <w:pStyle w:val="TableContents"/>
              <w:bidi w:val="0"/>
              <w:spacing w:before="0" w:after="283"/>
              <w:jc w:val="right"/>
              <w:rPr>
                <w:sz w:val="20"/>
              </w:rPr>
            </w:pPr>
            <w:r>
              <w:rPr>
                <w:sz w:val="20"/>
              </w:rPr>
              <w:t>2,387</w:t>
            </w:r>
          </w:p>
        </w:tc>
        <w:tc>
          <w:tcPr>
            <w:tcW w:w="95" w:type="dxa"/>
            <w:tcBorders/>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283"/>
              <w:jc w:val="left"/>
              <w:rPr>
                <w:sz w:val="20"/>
              </w:rPr>
            </w:pPr>
            <w:r>
              <w:rPr>
                <w:sz w:val="20"/>
              </w:rPr>
              <w:t>Total payments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bookmarkStart w:id="482" w:name="xdx_982_eus-gaap--LesseeOperatingLeaseLi"/>
            <w:bookmarkEnd w:id="482"/>
          </w:p>
        </w:tc>
        <w:tc>
          <w:tcPr>
            <w:tcW w:w="590" w:type="dxa"/>
            <w:tcBorders/>
            <w:shd w:fill="CCEEFF" w:val="clear"/>
            <w:vAlign w:val="center"/>
          </w:tcPr>
          <w:p>
            <w:pPr>
              <w:pStyle w:val="TableContents"/>
              <w:bidi w:val="0"/>
              <w:spacing w:before="0" w:after="283"/>
              <w:jc w:val="right"/>
              <w:rPr>
                <w:sz w:val="20"/>
              </w:rPr>
            </w:pPr>
            <w:r>
              <w:rPr>
                <w:sz w:val="20"/>
              </w:rPr>
              <w:t>11,107</w:t>
            </w:r>
          </w:p>
        </w:tc>
        <w:tc>
          <w:tcPr>
            <w:tcW w:w="95" w:type="dxa"/>
            <w:tcBorders/>
            <w:shd w:fill="CCEEFF" w:val="clear"/>
            <w:vAlign w:val="center"/>
          </w:tcPr>
          <w:p>
            <w:pPr>
              <w:pStyle w:val="TableContents"/>
              <w:bidi w:val="0"/>
              <w:spacing w:before="0" w:after="283"/>
              <w:jc w:val="left"/>
              <w:rPr/>
            </w:pPr>
            <w:r>
              <w:rPr/>
              <w:t> </w:t>
            </w:r>
          </w:p>
        </w:tc>
      </w:tr>
      <w:tr>
        <w:trPr/>
        <w:tc>
          <w:tcPr>
            <w:tcW w:w="2840" w:type="dxa"/>
            <w:tcBorders/>
            <w:vAlign w:val="center"/>
          </w:tcPr>
          <w:p>
            <w:pPr>
              <w:pStyle w:val="TableContents"/>
              <w:bidi w:val="0"/>
              <w:spacing w:before="0" w:after="283"/>
              <w:jc w:val="left"/>
              <w:rPr>
                <w:sz w:val="20"/>
              </w:rPr>
            </w:pPr>
            <w:r>
              <w:rPr>
                <w:sz w:val="20"/>
              </w:rPr>
              <w:t>Less amounts representing interest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bookmarkStart w:id="483" w:name="xdx_98D_eus-gaap--LesseeOperatingLeaseLi"/>
            <w:bookmarkEnd w:id="483"/>
          </w:p>
        </w:tc>
        <w:tc>
          <w:tcPr>
            <w:tcW w:w="590" w:type="dxa"/>
            <w:tcBorders/>
            <w:vAlign w:val="center"/>
          </w:tcPr>
          <w:p>
            <w:pPr>
              <w:pStyle w:val="TableContents"/>
              <w:bidi w:val="0"/>
              <w:spacing w:before="0" w:after="283"/>
              <w:jc w:val="right"/>
              <w:rPr>
                <w:sz w:val="20"/>
              </w:rPr>
            </w:pPr>
            <w:r>
              <w:rPr>
                <w:sz w:val="20"/>
              </w:rPr>
              <w:t>(2,054</w:t>
            </w:r>
          </w:p>
        </w:tc>
        <w:tc>
          <w:tcPr>
            <w:tcW w:w="95" w:type="dxa"/>
            <w:tcBorders/>
            <w:vAlign w:val="center"/>
          </w:tcPr>
          <w:p>
            <w:pPr>
              <w:pStyle w:val="TableContents"/>
              <w:bidi w:val="0"/>
              <w:spacing w:before="0" w:after="283"/>
              <w:jc w:val="left"/>
              <w:rPr>
                <w:sz w:val="20"/>
              </w:rPr>
            </w:pPr>
            <w:r>
              <w:rPr>
                <w:sz w:val="20"/>
              </w:rPr>
              <w:t>)</w:t>
            </w:r>
          </w:p>
        </w:tc>
      </w:tr>
      <w:tr>
        <w:trPr/>
        <w:tc>
          <w:tcPr>
            <w:tcW w:w="2840"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Total minimum payments required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bookmarkStart w:id="484" w:name="xdx_98C_eus-gaap--OperatingLeaseLiabilit"/>
            <w:bookmarkEnd w:id="484"/>
          </w:p>
        </w:tc>
        <w:tc>
          <w:tcPr>
            <w:tcW w:w="590"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9,053</w:t>
            </w:r>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bookmarkStart w:id="485" w:name="xdx_8A7_zXvnsS8FltP3"/>
      <w:bookmarkEnd w:id="485"/>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Payments received by the Company for this sublease are comprised of two components, which include base rent and Common Area Maintenance (CAM) charges. While the base rent is fixed, the CAM charges are indexed directly to the Master Lease and are expected to be adjusted periodically as actual costs are incurred. However, the executed sublease agreement specifically itemizes these costs with a provision that informs the sublessee that the CAM charges will be adjusted (up or down) based on actual amounts once this information becomes known. As such, the nature of the charges is more closely representative of a fixed payment (an “in-substance fixed” charge) with the adjustments occurring simply to “true up” the listed CAM charges once actual charges from the head lessor become known. As sublessor, the Company has elected the practical expedient to not separate lease and nonlease components in disclosing future undiscounted cashflows and treats the combined components as a single lease component.</w:t>
      </w:r>
    </w:p>
    <w:p>
      <w:pPr>
        <w:pStyle w:val="TextBody"/>
        <w:bidi w:val="0"/>
        <w:spacing w:before="0" w:after="0"/>
        <w:ind w:left="0" w:right="0" w:firstLine="720"/>
        <w:jc w:val="left"/>
        <w:rPr>
          <w:caps w:val="false"/>
          <w:smallCaps w:val="false"/>
        </w:rPr>
      </w:pPr>
      <w:bookmarkStart w:id="486" w:name="xdx_816_zpGFvmPfLaod"/>
      <w:bookmarkEnd w:id="486"/>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87" w:name="xdx_802_eus-gaap--AccountsPayableAndAccr"/>
      <w:bookmarkEnd w:id="487"/>
      <w:r>
        <w:rPr>
          <w:rFonts w:ascii="Times New Roman;Times;Serif" w:hAnsi="Times New Roman;Times;Serif"/>
          <w:b/>
          <w:i w:val="false"/>
          <w:caps w:val="false"/>
          <w:smallCaps w:val="false"/>
          <w:sz w:val="20"/>
        </w:rPr>
        <w:t xml:space="preserve">(7) </w:t>
      </w:r>
      <w:bookmarkStart w:id="488" w:name="xdx_822_zdOK8N5Rk5Pj"/>
      <w:bookmarkEnd w:id="488"/>
      <w:r>
        <w:rPr>
          <w:rFonts w:ascii="Times New Roman;Times;Serif" w:hAnsi="Times New Roman;Times;Serif"/>
          <w:b/>
          <w:i w:val="false"/>
          <w:caps w:val="false"/>
          <w:smallCaps w:val="false"/>
          <w:sz w:val="20"/>
        </w:rPr>
        <w:t>Accrued Expenses and Asset Retirement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bookmarkStart w:id="489" w:name="xdx_8B1_z8fnRxX6fjua"/>
      <w:bookmarkStart w:id="490" w:name="xdx_895_eus-gaap--ScheduleOfAccruedLiabi"/>
      <w:bookmarkEnd w:id="489"/>
      <w:bookmarkEnd w:id="490"/>
      <w:r>
        <w:rPr>
          <w:rFonts w:ascii="Times New Roman;Times;Serif" w:hAnsi="Times New Roman;Times;Serif"/>
          <w:b w:val="false"/>
          <w:i w:val="false"/>
          <w:caps w:val="false"/>
          <w:smallCaps w:val="false"/>
          <w:sz w:val="20"/>
        </w:rPr>
        <w:t>Accrued expenses consist of the following:</w:t>
      </w:r>
    </w:p>
    <w:p>
      <w:pPr>
        <w:pStyle w:val="TextBody"/>
        <w:bidi w:val="0"/>
        <w:spacing w:before="0" w:after="0"/>
        <w:ind w:left="0" w:right="0" w:firstLine="720"/>
        <w:jc w:val="left"/>
        <w:rPr>
          <w:caps w:val="false"/>
          <w:smallCaps w:val="false"/>
        </w:rPr>
      </w:pPr>
      <w:r>
        <w:rPr>
          <w:caps w:val="false"/>
          <w:smallCaps w:val="false"/>
        </w:rPr>
        <w:t> </w:t>
      </w:r>
    </w:p>
    <w:tbl>
      <w:tblPr>
        <w:tblW w:w="4836" w:type="dxa"/>
        <w:jc w:val="left"/>
        <w:tblInd w:w="0" w:type="dxa"/>
        <w:tblLayout w:type="fixed"/>
        <w:tblCellMar>
          <w:top w:w="0" w:type="dxa"/>
          <w:left w:w="0" w:type="dxa"/>
          <w:bottom w:w="0" w:type="dxa"/>
          <w:right w:w="0" w:type="dxa"/>
        </w:tblCellMar>
      </w:tblPr>
      <w:tblGrid>
        <w:gridCol w:w="3065"/>
        <w:gridCol w:w="60"/>
        <w:gridCol w:w="152"/>
        <w:gridCol w:w="593"/>
        <w:gridCol w:w="73"/>
        <w:gridCol w:w="73"/>
        <w:gridCol w:w="152"/>
        <w:gridCol w:w="593"/>
        <w:gridCol w:w="75"/>
      </w:tblGrid>
      <w:tr>
        <w:trPr/>
        <w:tc>
          <w:tcPr>
            <w:tcW w:w="30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 w:type="dxa"/>
            <w:tcBorders>
              <w:bottom w:val="single" w:sz="8" w:space="0" w:color="000000"/>
            </w:tcBorders>
            <w:tcMar>
              <w:bottom w:w="28" w:type="dxa"/>
            </w:tcMar>
            <w:vAlign w:val="center"/>
          </w:tcPr>
          <w:p>
            <w:pPr>
              <w:pStyle w:val="TableContents"/>
              <w:bidi w:val="0"/>
              <w:spacing w:before="0" w:after="283"/>
              <w:jc w:val="center"/>
              <w:rPr/>
            </w:pPr>
            <w:r>
              <w:rPr/>
              <w:t> </w:t>
            </w:r>
            <w:bookmarkStart w:id="491" w:name="xdx_49A_20251231_z5ZdAAQyl1Th"/>
            <w:bookmarkEnd w:id="491"/>
          </w:p>
        </w:tc>
        <w:tc>
          <w:tcPr>
            <w:tcW w:w="593" w:type="dxa"/>
            <w:tcBorders>
              <w:bottom w:val="single" w:sz="8" w:space="0" w:color="000000"/>
            </w:tcBorders>
            <w:tcMar>
              <w:bottom w:w="28" w:type="dxa"/>
            </w:tcMar>
            <w:vAlign w:val="center"/>
          </w:tcPr>
          <w:p>
            <w:pPr>
              <w:pStyle w:val="TableContents"/>
              <w:bidi w:val="0"/>
              <w:spacing w:before="0" w:after="283"/>
              <w:jc w:val="center"/>
              <w:rPr/>
            </w:pPr>
            <w:r>
              <w:rPr/>
              <w:t> </w:t>
            </w:r>
          </w:p>
        </w:tc>
        <w:tc>
          <w:tcPr>
            <w:tcW w:w="73" w:type="dxa"/>
            <w:tcBorders>
              <w:bottom w:val="single" w:sz="8" w:space="0" w:color="000000"/>
            </w:tcBorders>
            <w:tcMar>
              <w:bottom w:w="28" w:type="dxa"/>
            </w:tcMar>
            <w:vAlign w:val="center"/>
          </w:tcPr>
          <w:p>
            <w:pPr>
              <w:pStyle w:val="TableContents"/>
              <w:bidi w:val="0"/>
              <w:spacing w:before="0" w:after="283"/>
              <w:jc w:val="center"/>
              <w:rPr/>
            </w:pPr>
            <w:r>
              <w:rPr/>
              <w:t> </w:t>
            </w:r>
            <w:bookmarkStart w:id="492" w:name="xdx_495_20241231_zRzhprjYfgGe"/>
            <w:bookmarkEnd w:id="492"/>
          </w:p>
        </w:tc>
        <w:tc>
          <w:tcPr>
            <w:tcW w:w="818" w:type="dxa"/>
            <w:gridSpan w:val="3"/>
            <w:tcBorders>
              <w:bottom w:val="single" w:sz="8" w:space="0" w:color="000000"/>
            </w:tcBorders>
            <w:tcMar>
              <w:bottom w:w="28" w:type="dxa"/>
            </w:tcMar>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30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6"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As of December 31,</w:t>
            </w:r>
          </w:p>
        </w:tc>
        <w:tc>
          <w:tcPr>
            <w:tcW w:w="75" w:type="dxa"/>
            <w:tcBorders/>
            <w:vAlign w:val="center"/>
          </w:tcPr>
          <w:p>
            <w:pPr>
              <w:pStyle w:val="TableContents"/>
              <w:bidi w:val="0"/>
              <w:spacing w:before="0" w:after="283"/>
              <w:jc w:val="left"/>
              <w:rPr/>
            </w:pPr>
            <w:r>
              <w:rPr/>
              <w:t> </w:t>
            </w:r>
          </w:p>
        </w:tc>
      </w:tr>
      <w:tr>
        <w:trPr/>
        <w:tc>
          <w:tcPr>
            <w:tcW w:w="30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73"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74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2024</w:t>
            </w:r>
          </w:p>
        </w:tc>
        <w:tc>
          <w:tcPr>
            <w:tcW w:w="75" w:type="dxa"/>
            <w:tcBorders/>
            <w:vAlign w:val="center"/>
          </w:tcPr>
          <w:p>
            <w:pPr>
              <w:pStyle w:val="TableContents"/>
              <w:bidi w:val="0"/>
              <w:spacing w:before="0" w:after="283"/>
              <w:jc w:val="left"/>
              <w:rPr/>
            </w:pPr>
            <w:r>
              <w:rPr/>
              <w:t> </w:t>
            </w:r>
            <w:bookmarkStart w:id="493" w:name="xdx_40E_eus-gaap--EmployeeRelatedLiabili"/>
            <w:bookmarkEnd w:id="493"/>
          </w:p>
        </w:tc>
      </w:tr>
      <w:tr>
        <w:trPr/>
        <w:tc>
          <w:tcPr>
            <w:tcW w:w="3065" w:type="dxa"/>
            <w:tcBorders/>
            <w:shd w:fill="CCEEFF" w:val="clear"/>
            <w:vAlign w:val="center"/>
          </w:tcPr>
          <w:p>
            <w:pPr>
              <w:pStyle w:val="TableContents"/>
              <w:bidi w:val="0"/>
              <w:spacing w:before="0" w:after="283"/>
              <w:jc w:val="left"/>
              <w:rPr>
                <w:sz w:val="20"/>
              </w:rPr>
            </w:pPr>
            <w:r>
              <w:rPr>
                <w:sz w:val="20"/>
              </w:rPr>
              <w:t>Accrued payroll and related expenses</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sz w:val="20"/>
              </w:rPr>
            </w:pPr>
            <w:r>
              <w:rPr>
                <w:sz w:val="20"/>
              </w:rPr>
              <w:t>$</w:t>
            </w:r>
          </w:p>
        </w:tc>
        <w:tc>
          <w:tcPr>
            <w:tcW w:w="593" w:type="dxa"/>
            <w:tcBorders/>
            <w:shd w:fill="CCEEFF" w:val="clear"/>
            <w:vAlign w:val="center"/>
          </w:tcPr>
          <w:p>
            <w:pPr>
              <w:pStyle w:val="TableContents"/>
              <w:bidi w:val="0"/>
              <w:spacing w:before="0" w:after="283"/>
              <w:jc w:val="right"/>
              <w:rPr>
                <w:sz w:val="20"/>
              </w:rPr>
            </w:pPr>
            <w:r>
              <w:rPr>
                <w:sz w:val="20"/>
              </w:rPr>
              <w:t>809</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sz w:val="20"/>
              </w:rPr>
            </w:pPr>
            <w:r>
              <w:rPr>
                <w:sz w:val="20"/>
              </w:rPr>
              <w:t>$</w:t>
            </w:r>
          </w:p>
        </w:tc>
        <w:tc>
          <w:tcPr>
            <w:tcW w:w="593" w:type="dxa"/>
            <w:tcBorders/>
            <w:shd w:fill="CCEEFF" w:val="clear"/>
            <w:vAlign w:val="center"/>
          </w:tcPr>
          <w:p>
            <w:pPr>
              <w:pStyle w:val="TableContents"/>
              <w:bidi w:val="0"/>
              <w:spacing w:before="0" w:after="283"/>
              <w:jc w:val="right"/>
              <w:rPr>
                <w:sz w:val="20"/>
              </w:rPr>
            </w:pPr>
            <w:r>
              <w:rPr>
                <w:sz w:val="20"/>
              </w:rPr>
              <w:t>1,597</w:t>
            </w:r>
          </w:p>
        </w:tc>
        <w:tc>
          <w:tcPr>
            <w:tcW w:w="75" w:type="dxa"/>
            <w:tcBorders/>
            <w:shd w:fill="CCEEFF" w:val="clear"/>
            <w:vAlign w:val="center"/>
          </w:tcPr>
          <w:p>
            <w:pPr>
              <w:pStyle w:val="TableContents"/>
              <w:bidi w:val="0"/>
              <w:spacing w:before="0" w:after="283"/>
              <w:jc w:val="left"/>
              <w:rPr/>
            </w:pPr>
            <w:r>
              <w:rPr/>
              <w:t> </w:t>
            </w:r>
            <w:bookmarkStart w:id="494" w:name="xdx_405_ecustom--AccruedAccountsPayable_"/>
            <w:bookmarkEnd w:id="494"/>
          </w:p>
        </w:tc>
      </w:tr>
      <w:tr>
        <w:trPr/>
        <w:tc>
          <w:tcPr>
            <w:tcW w:w="3065" w:type="dxa"/>
            <w:tcBorders/>
            <w:vAlign w:val="center"/>
          </w:tcPr>
          <w:p>
            <w:pPr>
              <w:pStyle w:val="TableContents"/>
              <w:bidi w:val="0"/>
              <w:spacing w:before="0" w:after="283"/>
              <w:jc w:val="left"/>
              <w:rPr>
                <w:sz w:val="20"/>
              </w:rPr>
            </w:pPr>
            <w:r>
              <w:rPr>
                <w:sz w:val="20"/>
              </w:rPr>
              <w:t>Accrued accounts payable</w:t>
            </w:r>
          </w:p>
        </w:tc>
        <w:tc>
          <w:tcPr>
            <w:tcW w:w="60"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593" w:type="dxa"/>
            <w:tcBorders/>
            <w:vAlign w:val="center"/>
          </w:tcPr>
          <w:p>
            <w:pPr>
              <w:pStyle w:val="TableContents"/>
              <w:bidi w:val="0"/>
              <w:spacing w:before="0" w:after="283"/>
              <w:jc w:val="right"/>
              <w:rPr>
                <w:sz w:val="20"/>
              </w:rPr>
            </w:pPr>
            <w:r>
              <w:rPr>
                <w:sz w:val="20"/>
              </w:rPr>
              <w:t>292</w:t>
            </w:r>
          </w:p>
        </w:tc>
        <w:tc>
          <w:tcPr>
            <w:tcW w:w="73"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593" w:type="dxa"/>
            <w:tcBorders/>
            <w:vAlign w:val="center"/>
          </w:tcPr>
          <w:p>
            <w:pPr>
              <w:pStyle w:val="TableContents"/>
              <w:bidi w:val="0"/>
              <w:spacing w:before="0" w:after="283"/>
              <w:jc w:val="right"/>
              <w:rPr>
                <w:sz w:val="20"/>
              </w:rPr>
            </w:pPr>
            <w:r>
              <w:rPr>
                <w:sz w:val="20"/>
              </w:rPr>
              <w:t>1,824</w:t>
            </w:r>
          </w:p>
        </w:tc>
        <w:tc>
          <w:tcPr>
            <w:tcW w:w="75" w:type="dxa"/>
            <w:tcBorders/>
            <w:vAlign w:val="center"/>
          </w:tcPr>
          <w:p>
            <w:pPr>
              <w:pStyle w:val="TableContents"/>
              <w:bidi w:val="0"/>
              <w:spacing w:before="0" w:after="283"/>
              <w:jc w:val="left"/>
              <w:rPr/>
            </w:pPr>
            <w:r>
              <w:rPr/>
              <w:t> </w:t>
            </w:r>
            <w:bookmarkStart w:id="495" w:name="xdx_403_eus-gaap--OtherAccruedLiabilitie"/>
            <w:bookmarkEnd w:id="495"/>
          </w:p>
        </w:tc>
      </w:tr>
      <w:tr>
        <w:trPr/>
        <w:tc>
          <w:tcPr>
            <w:tcW w:w="3065" w:type="dxa"/>
            <w:tcBorders/>
            <w:shd w:fill="CCEEFF" w:val="clear"/>
            <w:vAlign w:val="center"/>
          </w:tcPr>
          <w:p>
            <w:pPr>
              <w:pStyle w:val="TableContents"/>
              <w:bidi w:val="0"/>
              <w:spacing w:before="0" w:after="283"/>
              <w:jc w:val="left"/>
              <w:rPr>
                <w:sz w:val="20"/>
              </w:rPr>
            </w:pPr>
            <w:r>
              <w:rPr>
                <w:sz w:val="20"/>
              </w:rPr>
              <w:t>Other</w:t>
            </w:r>
          </w:p>
        </w:tc>
        <w:tc>
          <w:tcPr>
            <w:tcW w:w="60" w:type="dxa"/>
            <w:tcBorders/>
            <w:shd w:fill="CCEEFF" w:val="clear"/>
            <w:vAlign w:val="center"/>
          </w:tcPr>
          <w:p>
            <w:pPr>
              <w:pStyle w:val="TableContents"/>
              <w:bidi w:val="0"/>
              <w:spacing w:before="0" w:after="283"/>
              <w:jc w:val="left"/>
              <w:rPr/>
            </w:pPr>
            <w:r>
              <w:rPr/>
              <w:t> </w:t>
            </w:r>
          </w:p>
        </w:tc>
        <w:tc>
          <w:tcPr>
            <w:tcW w:w="15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93"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1,778</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5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93"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1,428</w:t>
            </w:r>
          </w:p>
        </w:tc>
        <w:tc>
          <w:tcPr>
            <w:tcW w:w="75" w:type="dxa"/>
            <w:tcBorders/>
            <w:shd w:fill="CCEEFF" w:val="clear"/>
            <w:vAlign w:val="center"/>
          </w:tcPr>
          <w:p>
            <w:pPr>
              <w:pStyle w:val="TableContents"/>
              <w:bidi w:val="0"/>
              <w:spacing w:before="0" w:after="283"/>
              <w:jc w:val="left"/>
              <w:rPr/>
            </w:pPr>
            <w:r>
              <w:rPr/>
              <w:t> </w:t>
            </w:r>
            <w:bookmarkStart w:id="496" w:name="xdx_407_eus-gaap--AccruedLiabilitiesCurr"/>
            <w:bookmarkEnd w:id="496"/>
          </w:p>
        </w:tc>
      </w:tr>
      <w:tr>
        <w:trPr/>
        <w:tc>
          <w:tcPr>
            <w:tcW w:w="3065" w:type="dxa"/>
            <w:tcBorders/>
            <w:vAlign w:val="center"/>
          </w:tcPr>
          <w:p>
            <w:pPr>
              <w:pStyle w:val="TableContents"/>
              <w:bidi w:val="0"/>
              <w:spacing w:before="0" w:after="283"/>
              <w:jc w:val="both"/>
              <w:rPr/>
            </w:pPr>
            <w:r>
              <w:rPr/>
              <w:t> </w:t>
            </w:r>
            <w:r>
              <w:rPr>
                <w:sz w:val="20"/>
              </w:rPr>
              <w:t>Total</w:t>
            </w:r>
          </w:p>
        </w:tc>
        <w:tc>
          <w:tcPr>
            <w:tcW w:w="60" w:type="dxa"/>
            <w:tcBorders/>
            <w:vAlign w:val="center"/>
          </w:tcPr>
          <w:p>
            <w:pPr>
              <w:pStyle w:val="TableContents"/>
              <w:bidi w:val="0"/>
              <w:spacing w:before="0" w:after="283"/>
              <w:jc w:val="left"/>
              <w:rPr/>
            </w:pPr>
            <w:r>
              <w:rPr/>
              <w:t> </w:t>
            </w:r>
          </w:p>
        </w:tc>
        <w:tc>
          <w:tcPr>
            <w:tcW w:w="152" w:type="dxa"/>
            <w:tcBorders>
              <w:bottom w:val="double" w:sz="6" w:space="0" w:color="000000"/>
            </w:tcBorders>
            <w:tcMar>
              <w:bottom w:w="28" w:type="dxa"/>
            </w:tcMar>
            <w:vAlign w:val="center"/>
          </w:tcPr>
          <w:p>
            <w:pPr>
              <w:pStyle w:val="TableContents"/>
              <w:bidi w:val="0"/>
              <w:spacing w:before="0" w:after="283"/>
              <w:jc w:val="left"/>
              <w:rPr>
                <w:sz w:val="20"/>
              </w:rPr>
            </w:pPr>
            <w:r>
              <w:rPr>
                <w:sz w:val="20"/>
              </w:rPr>
              <w:t>$</w:t>
            </w:r>
          </w:p>
        </w:tc>
        <w:tc>
          <w:tcPr>
            <w:tcW w:w="593" w:type="dxa"/>
            <w:tcBorders>
              <w:bottom w:val="double" w:sz="6" w:space="0" w:color="000000"/>
            </w:tcBorders>
            <w:tcMar>
              <w:bottom w:w="28" w:type="dxa"/>
            </w:tcMar>
            <w:vAlign w:val="center"/>
          </w:tcPr>
          <w:p>
            <w:pPr>
              <w:pStyle w:val="TableContents"/>
              <w:bidi w:val="0"/>
              <w:spacing w:before="0" w:after="283"/>
              <w:jc w:val="right"/>
              <w:rPr>
                <w:sz w:val="20"/>
              </w:rPr>
            </w:pPr>
            <w:r>
              <w:rPr>
                <w:sz w:val="20"/>
              </w:rPr>
              <w:t>2,879</w:t>
            </w:r>
          </w:p>
        </w:tc>
        <w:tc>
          <w:tcPr>
            <w:tcW w:w="73"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52" w:type="dxa"/>
            <w:tcBorders>
              <w:bottom w:val="double" w:sz="6" w:space="0" w:color="000000"/>
            </w:tcBorders>
            <w:tcMar>
              <w:bottom w:w="28" w:type="dxa"/>
            </w:tcMar>
            <w:vAlign w:val="center"/>
          </w:tcPr>
          <w:p>
            <w:pPr>
              <w:pStyle w:val="TableContents"/>
              <w:bidi w:val="0"/>
              <w:spacing w:before="0" w:after="283"/>
              <w:jc w:val="left"/>
              <w:rPr>
                <w:sz w:val="20"/>
              </w:rPr>
            </w:pPr>
            <w:r>
              <w:rPr>
                <w:sz w:val="20"/>
              </w:rPr>
              <w:t>$</w:t>
            </w:r>
          </w:p>
        </w:tc>
        <w:tc>
          <w:tcPr>
            <w:tcW w:w="593" w:type="dxa"/>
            <w:tcBorders>
              <w:bottom w:val="double" w:sz="6" w:space="0" w:color="000000"/>
            </w:tcBorders>
            <w:tcMar>
              <w:bottom w:w="28" w:type="dxa"/>
            </w:tcMar>
            <w:vAlign w:val="center"/>
          </w:tcPr>
          <w:p>
            <w:pPr>
              <w:pStyle w:val="TableContents"/>
              <w:bidi w:val="0"/>
              <w:spacing w:before="0" w:after="283"/>
              <w:jc w:val="right"/>
              <w:rPr>
                <w:sz w:val="20"/>
              </w:rPr>
            </w:pPr>
            <w:r>
              <w:rPr>
                <w:sz w:val="20"/>
              </w:rPr>
              <w:t>4,849</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bookmarkStart w:id="497" w:name="xdx_8A2_zyiAd9j3otKd"/>
      <w:bookmarkEnd w:id="497"/>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Asset Retirement Obligations: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records asset retirement obligations (“AROs”) for legal obligations associated with the retirement of certain tangible long-lived assets. The Company’s AROs primarily relate to returning leased facilities back to acceptable condition per the lease.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2025, $</w:t>
      </w:r>
      <w:bookmarkStart w:id="498" w:name="xdx_90B_eus-gaap--AssetRetirementObligat"/>
      <w:bookmarkEnd w:id="498"/>
      <w:r>
        <w:rPr>
          <w:rFonts w:ascii="Times New Roman;Times;Serif" w:hAnsi="Times New Roman;Times;Serif"/>
          <w:b w:val="false"/>
          <w:i w:val="false"/>
          <w:caps w:val="false"/>
          <w:smallCaps w:val="false"/>
          <w:sz w:val="20"/>
        </w:rPr>
        <w:t>46 in liabilities associated with AROs were incurred, $</w:t>
      </w:r>
      <w:bookmarkStart w:id="499" w:name="xdx_905_eus-gaap--AssetRetirementObligat"/>
      <w:bookmarkEnd w:id="499"/>
      <w:r>
        <w:rPr>
          <w:rFonts w:ascii="Times New Roman;Times;Serif" w:hAnsi="Times New Roman;Times;Serif"/>
          <w:b w:val="false"/>
          <w:i w:val="false"/>
          <w:caps w:val="false"/>
          <w:smallCaps w:val="false"/>
          <w:sz w:val="20"/>
        </w:rPr>
        <w:t>98 in liabilities were settled, and $</w:t>
      </w:r>
      <w:bookmarkStart w:id="500" w:name="xdx_90B_eus-gaap--AssetRetirementObligat"/>
      <w:bookmarkEnd w:id="500"/>
      <w:r>
        <w:rPr>
          <w:rFonts w:ascii="Times New Roman;Times;Serif" w:hAnsi="Times New Roman;Times;Serif"/>
          <w:b w:val="false"/>
          <w:i w:val="false"/>
          <w:caps w:val="false"/>
          <w:smallCaps w:val="false"/>
          <w:sz w:val="20"/>
        </w:rPr>
        <w:t>8 in was recognized in accretion expense. For the year ended December 31, 2024, $</w:t>
      </w:r>
      <w:bookmarkStart w:id="501" w:name="xdx_900_eus-gaap--AssetRetirementObligat"/>
      <w:bookmarkEnd w:id="501"/>
      <w:r>
        <w:rPr>
          <w:rFonts w:ascii="Times New Roman;Times;Serif" w:hAnsi="Times New Roman;Times;Serif"/>
          <w:b w:val="false"/>
          <w:i w:val="false"/>
          <w:caps w:val="false"/>
          <w:smallCaps w:val="false"/>
          <w:sz w:val="20"/>
        </w:rPr>
        <w:t xml:space="preserve">8 in liabilities associated with AROs were incurred, </w:t>
      </w:r>
      <w:bookmarkStart w:id="502" w:name="xdx_908_eus-gaap--AssetRetirementObligat"/>
      <w:bookmarkEnd w:id="502"/>
      <w:r>
        <w:rPr>
          <w:rFonts w:ascii="Times New Roman;Times;Serif" w:hAnsi="Times New Roman;Times;Serif"/>
          <w:b w:val="false"/>
          <w:i w:val="false"/>
          <w:caps w:val="false"/>
          <w:smallCaps w:val="false"/>
          <w:sz w:val="20"/>
        </w:rPr>
        <w:t>no liabilities were settled, and $</w:t>
      </w:r>
      <w:bookmarkStart w:id="503" w:name="xdx_909_eus-gaap--AssetRetirementObligat"/>
      <w:bookmarkEnd w:id="503"/>
      <w:r>
        <w:rPr>
          <w:rFonts w:ascii="Times New Roman;Times;Serif" w:hAnsi="Times New Roman;Times;Serif"/>
          <w:b w:val="false"/>
          <w:i w:val="false"/>
          <w:caps w:val="false"/>
          <w:smallCaps w:val="false"/>
          <w:sz w:val="20"/>
        </w:rPr>
        <w:t>8 in was recognized in accretion expense.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F-15 </w:t>
      </w:r>
    </w:p>
    <w:p>
      <w:pPr>
        <w:pStyle w:val="TextBody"/>
        <w:bidi w:val="0"/>
        <w:spacing w:before="0" w:after="0"/>
        <w:ind w:left="0" w:right="0" w:firstLine="720"/>
        <w:jc w:val="left"/>
        <w:rPr>
          <w:caps w:val="false"/>
          <w:smallCaps w:val="false"/>
        </w:rPr>
      </w:pPr>
      <w:bookmarkStart w:id="504" w:name="xdx_23E_zieV90OOAyac"/>
      <w:bookmarkEnd w:id="504"/>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years ended December 31, 2025, and 2024, there were no assets legally restricted for purposes of settling asset retirement obligations or revisions to estimated cash flows.</w:t>
      </w:r>
    </w:p>
    <w:p>
      <w:pPr>
        <w:pStyle w:val="TextBody"/>
        <w:bidi w:val="0"/>
        <w:spacing w:before="0" w:after="0"/>
        <w:ind w:left="0" w:right="0" w:firstLine="720"/>
        <w:jc w:val="left"/>
        <w:rPr>
          <w:caps w:val="false"/>
          <w:smallCaps w:val="false"/>
        </w:rPr>
      </w:pPr>
      <w:bookmarkStart w:id="505" w:name="xdx_8AB_zGq3akJR7CH8"/>
      <w:bookmarkEnd w:id="505"/>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06" w:name="xdx_80F_eus-gaap--IncomeTaxDisclosureTex"/>
      <w:bookmarkEnd w:id="506"/>
      <w:r>
        <w:rPr>
          <w:rFonts w:ascii="Times New Roman;Times;Serif" w:hAnsi="Times New Roman;Times;Serif"/>
          <w:b/>
          <w:i w:val="false"/>
          <w:caps w:val="false"/>
          <w:smallCaps w:val="false"/>
          <w:sz w:val="20"/>
        </w:rPr>
        <w:t xml:space="preserve">(8) </w:t>
      </w:r>
      <w:bookmarkStart w:id="507" w:name="xdx_82D_zfqK9s1eJII1"/>
      <w:bookmarkEnd w:id="507"/>
      <w:r>
        <w:rPr>
          <w:rFonts w:ascii="Times New Roman;Times;Serif" w:hAnsi="Times New Roman;Times;Serif"/>
          <w:b/>
          <w:i w:val="false"/>
          <w:caps w:val="false"/>
          <w:smallCaps w:val="false"/>
          <w:sz w:val="20"/>
        </w:rPr>
        <w:t>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net income tax provision, including both current and deferred, related to U.S. federal and state income taxes, is </w:t>
      </w:r>
      <w:bookmarkStart w:id="508" w:name="xdx_90F_eus-gaap--IncomeTaxExpenseBenefi"/>
      <w:bookmarkEnd w:id="508"/>
      <w:r>
        <w:rPr>
          <w:rFonts w:ascii="Times New Roman;Times;Serif" w:hAnsi="Times New Roman;Times;Serif"/>
          <w:b w:val="false"/>
          <w:i w:val="false"/>
          <w:caps w:val="false"/>
          <w:smallCaps w:val="false"/>
          <w:sz w:val="20"/>
        </w:rPr>
        <w:t>$73. Our current federal and deferred tax expenses are zero.</w:t>
      </w:r>
    </w:p>
    <w:p>
      <w:pPr>
        <w:pStyle w:val="TextBody"/>
        <w:bidi w:val="0"/>
        <w:spacing w:before="0" w:after="0"/>
        <w:ind w:left="0" w:right="0" w:firstLine="720"/>
        <w:jc w:val="both"/>
        <w:rPr>
          <w:caps w:val="false"/>
          <w:smallCaps w:val="false"/>
        </w:rPr>
      </w:pPr>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further described in Recently Adopted Pronouncements, the Company has elected to prospectively adopt the guidance in ASU No. 2023-09, Income Taxes (Topic 740): Improvements to Income Taxes Disclosures, or ASU 2023-09. </w:t>
      </w:r>
      <w:bookmarkStart w:id="509" w:name="xdx_8BD_zbYzf3CkKEx1"/>
      <w:bookmarkEnd w:id="509"/>
      <w:r>
        <w:rPr>
          <w:rFonts w:ascii="Times New Roman;Times;Serif" w:hAnsi="Times New Roman;Times;Serif"/>
          <w:b w:val="false"/>
          <w:i w:val="false"/>
          <w:caps w:val="false"/>
          <w:smallCaps w:val="false"/>
          <w:sz w:val="20"/>
        </w:rPr>
        <w:t xml:space="preserve">The following table is a reconciliation of the U.S. federal statutory rate of </w:t>
      </w:r>
      <w:bookmarkStart w:id="510" w:name="xdx_90C_eus-gaap--EffectiveIncomeTaxRate"/>
      <w:bookmarkEnd w:id="510"/>
      <w:r>
        <w:rPr>
          <w:rFonts w:ascii="Times New Roman;Times;Serif" w:hAnsi="Times New Roman;Times;Serif"/>
          <w:b w:val="false"/>
          <w:i w:val="false"/>
          <w:caps w:val="false"/>
          <w:smallCaps w:val="false"/>
          <w:sz w:val="20"/>
        </w:rPr>
        <w:t>21% to the Company's effective rate for the year ended December 31, 2025 in accordance with the guidance in ASU No. 2023-09:</w:t>
      </w:r>
    </w:p>
    <w:p>
      <w:pPr>
        <w:pStyle w:val="TextBody"/>
        <w:bidi w:val="0"/>
        <w:spacing w:before="0" w:after="0"/>
        <w:ind w:left="0" w:right="0" w:firstLine="720"/>
        <w:jc w:val="both"/>
        <w:rPr>
          <w:caps w:val="false"/>
          <w:smallCaps w:val="false"/>
        </w:rPr>
      </w:pPr>
      <w:r>
        <w:rPr>
          <w:caps w:val="false"/>
          <w:smallCaps w:val="false"/>
        </w:rPr>
        <w:t> </w:t>
      </w:r>
    </w:p>
    <w:tbl>
      <w:tblPr>
        <w:tblW w:w="5750" w:type="dxa"/>
        <w:jc w:val="left"/>
        <w:tblInd w:w="0" w:type="dxa"/>
        <w:tblLayout w:type="fixed"/>
        <w:tblCellMar>
          <w:top w:w="0" w:type="dxa"/>
          <w:left w:w="0" w:type="dxa"/>
          <w:bottom w:w="0" w:type="dxa"/>
          <w:right w:w="0" w:type="dxa"/>
        </w:tblCellMar>
      </w:tblPr>
      <w:tblGrid>
        <w:gridCol w:w="4805"/>
        <w:gridCol w:w="60"/>
        <w:gridCol w:w="140"/>
        <w:gridCol w:w="635"/>
        <w:gridCol w:w="110"/>
      </w:tblGrid>
      <w:tr>
        <w:trPr/>
        <w:tc>
          <w:tcPr>
            <w:tcW w:w="4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11" w:name="xdx_49C_20250101__20251231_z5AdBK4ykxkd"/>
            <w:bookmarkEnd w:id="511"/>
          </w:p>
        </w:tc>
        <w:tc>
          <w:tcPr>
            <w:tcW w:w="7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bookmarkStart w:id="512" w:name="xdx_40B_eus-gaap--IncomeTaxReconciliatio"/>
            <w:bookmarkEnd w:id="512"/>
          </w:p>
        </w:tc>
      </w:tr>
      <w:tr>
        <w:trPr/>
        <w:tc>
          <w:tcPr>
            <w:tcW w:w="4805" w:type="dxa"/>
            <w:tcBorders/>
            <w:shd w:fill="CCEEFF" w:val="clear"/>
            <w:vAlign w:val="center"/>
          </w:tcPr>
          <w:p>
            <w:pPr>
              <w:pStyle w:val="TableContents"/>
              <w:bidi w:val="0"/>
              <w:spacing w:before="0" w:after="283"/>
              <w:jc w:val="left"/>
              <w:rPr/>
            </w:pPr>
            <w:r>
              <w:rPr/>
              <w:t>Income tax credit at statutory rates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392</w:t>
            </w:r>
          </w:p>
        </w:tc>
        <w:tc>
          <w:tcPr>
            <w:tcW w:w="110" w:type="dxa"/>
            <w:tcBorders/>
            <w:shd w:fill="CCEEFF" w:val="clear"/>
            <w:vAlign w:val="center"/>
          </w:tcPr>
          <w:p>
            <w:pPr>
              <w:pStyle w:val="TableContents"/>
              <w:bidi w:val="0"/>
              <w:spacing w:before="0" w:after="283"/>
              <w:jc w:val="left"/>
              <w:rPr/>
            </w:pPr>
            <w:r>
              <w:rPr/>
              <w:t> </w:t>
            </w:r>
            <w:bookmarkStart w:id="513" w:name="xdx_401_eus-gaap--IncomeTaxReconciliatio"/>
            <w:bookmarkEnd w:id="513"/>
          </w:p>
        </w:tc>
      </w:tr>
      <w:tr>
        <w:trPr/>
        <w:tc>
          <w:tcPr>
            <w:tcW w:w="4805" w:type="dxa"/>
            <w:tcBorders/>
            <w:shd w:fill="FFFFFF" w:val="clear"/>
            <w:vAlign w:val="center"/>
          </w:tcPr>
          <w:p>
            <w:pPr>
              <w:pStyle w:val="TableContents"/>
              <w:bidi w:val="0"/>
              <w:spacing w:before="0" w:after="283"/>
              <w:jc w:val="left"/>
              <w:rPr/>
            </w:pPr>
            <w:r>
              <w:rPr/>
              <w:t>Nondeductible or nondeductible items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514" w:name="xdx_407_eus-gaap--IncomeTaxReconciliatio"/>
            <w:bookmarkEnd w:id="514"/>
          </w:p>
        </w:tc>
      </w:tr>
      <w:tr>
        <w:trPr/>
        <w:tc>
          <w:tcPr>
            <w:tcW w:w="4805" w:type="dxa"/>
            <w:tcBorders/>
            <w:shd w:fill="CCEEFF" w:val="clear"/>
            <w:vAlign w:val="center"/>
          </w:tcPr>
          <w:p>
            <w:pPr>
              <w:pStyle w:val="TableContents"/>
              <w:bidi w:val="0"/>
              <w:spacing w:before="0" w:after="283"/>
              <w:jc w:val="left"/>
              <w:rPr/>
            </w:pPr>
            <w:r>
              <w:rPr/>
              <w:t>   </w:t>
            </w:r>
            <w:r>
              <w:rPr/>
              <w:t>Permanent tax deduction stock options exercised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(271</w:t>
            </w:r>
          </w:p>
        </w:tc>
        <w:tc>
          <w:tcPr>
            <w:tcW w:w="110" w:type="dxa"/>
            <w:tcBorders/>
            <w:shd w:fill="CCEEFF" w:val="clear"/>
            <w:vAlign w:val="center"/>
          </w:tcPr>
          <w:p>
            <w:pPr>
              <w:pStyle w:val="TableContents"/>
              <w:bidi w:val="0"/>
              <w:spacing w:before="0" w:after="283"/>
              <w:jc w:val="left"/>
              <w:rPr/>
            </w:pPr>
            <w:r>
              <w:rPr/>
              <w:t>)</w:t>
            </w:r>
            <w:bookmarkStart w:id="515" w:name="xdx_402_eus-gaap--IncomeTaxReconciliatio"/>
            <w:bookmarkEnd w:id="515"/>
          </w:p>
        </w:tc>
      </w:tr>
      <w:tr>
        <w:trPr/>
        <w:tc>
          <w:tcPr>
            <w:tcW w:w="4805" w:type="dxa"/>
            <w:tcBorders/>
            <w:shd w:fill="FFFFFF" w:val="clear"/>
            <w:vAlign w:val="center"/>
          </w:tcPr>
          <w:p>
            <w:pPr>
              <w:pStyle w:val="TableContents"/>
              <w:bidi w:val="0"/>
              <w:spacing w:before="0" w:after="283"/>
              <w:jc w:val="left"/>
              <w:rPr/>
            </w:pPr>
            <w:r>
              <w:rPr/>
              <w:t>  </w:t>
            </w:r>
            <w:r>
              <w:rPr/>
              <w:t>Other nontaxable or nondeductible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3</w:t>
            </w:r>
          </w:p>
        </w:tc>
        <w:tc>
          <w:tcPr>
            <w:tcW w:w="110" w:type="dxa"/>
            <w:tcBorders/>
            <w:shd w:fill="FFFFFF" w:val="clear"/>
            <w:vAlign w:val="center"/>
          </w:tcPr>
          <w:p>
            <w:pPr>
              <w:pStyle w:val="TableContents"/>
              <w:bidi w:val="0"/>
              <w:spacing w:before="0" w:after="283"/>
              <w:jc w:val="left"/>
              <w:rPr/>
            </w:pPr>
            <w:r>
              <w:rPr/>
              <w:t> </w:t>
            </w:r>
            <w:bookmarkStart w:id="516" w:name="xdx_403_eus-gaap--IncomeTaxReconciliatio"/>
            <w:bookmarkEnd w:id="516"/>
          </w:p>
        </w:tc>
      </w:tr>
      <w:tr>
        <w:trPr/>
        <w:tc>
          <w:tcPr>
            <w:tcW w:w="4805" w:type="dxa"/>
            <w:tcBorders/>
            <w:shd w:fill="CCEEFF" w:val="clear"/>
            <w:vAlign w:val="center"/>
          </w:tcPr>
          <w:p>
            <w:pPr>
              <w:pStyle w:val="TableContents"/>
              <w:bidi w:val="0"/>
              <w:spacing w:before="0" w:after="283"/>
              <w:jc w:val="left"/>
              <w:rPr/>
            </w:pPr>
            <w:r>
              <w:rPr/>
              <w:t>Recorded tax credits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(167</w:t>
            </w:r>
          </w:p>
        </w:tc>
        <w:tc>
          <w:tcPr>
            <w:tcW w:w="110" w:type="dxa"/>
            <w:tcBorders/>
            <w:shd w:fill="CCEEFF" w:val="clear"/>
            <w:vAlign w:val="center"/>
          </w:tcPr>
          <w:p>
            <w:pPr>
              <w:pStyle w:val="TableContents"/>
              <w:bidi w:val="0"/>
              <w:spacing w:before="0" w:after="283"/>
              <w:jc w:val="left"/>
              <w:rPr/>
            </w:pPr>
            <w:r>
              <w:rPr/>
              <w:t>)</w:t>
            </w:r>
            <w:bookmarkStart w:id="517" w:name="xdx_402_eus-gaap--IncomeTaxReconciliatio"/>
            <w:bookmarkEnd w:id="517"/>
          </w:p>
        </w:tc>
      </w:tr>
      <w:tr>
        <w:trPr/>
        <w:tc>
          <w:tcPr>
            <w:tcW w:w="4805" w:type="dxa"/>
            <w:tcBorders/>
            <w:shd w:fill="FFFFFF" w:val="clear"/>
            <w:vAlign w:val="center"/>
          </w:tcPr>
          <w:p>
            <w:pPr>
              <w:pStyle w:val="TableContents"/>
              <w:bidi w:val="0"/>
              <w:spacing w:before="0" w:after="283"/>
              <w:jc w:val="left"/>
              <w:rPr/>
            </w:pPr>
            <w:r>
              <w:rPr/>
              <w:t>State income tax, net of federal benefits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59</w:t>
            </w:r>
          </w:p>
        </w:tc>
        <w:tc>
          <w:tcPr>
            <w:tcW w:w="110" w:type="dxa"/>
            <w:tcBorders/>
            <w:shd w:fill="FFFFFF" w:val="clear"/>
            <w:vAlign w:val="center"/>
          </w:tcPr>
          <w:p>
            <w:pPr>
              <w:pStyle w:val="TableContents"/>
              <w:bidi w:val="0"/>
              <w:spacing w:before="0" w:after="283"/>
              <w:jc w:val="left"/>
              <w:rPr/>
            </w:pPr>
            <w:r>
              <w:rPr/>
              <w:t> </w:t>
            </w:r>
            <w:bookmarkStart w:id="518" w:name="xdx_40C_eus-gaap--IncomeTaxReconciliatio"/>
            <w:bookmarkEnd w:id="518"/>
          </w:p>
        </w:tc>
      </w:tr>
      <w:tr>
        <w:trPr/>
        <w:tc>
          <w:tcPr>
            <w:tcW w:w="4805" w:type="dxa"/>
            <w:tcBorders/>
            <w:shd w:fill="CCEEFF" w:val="clear"/>
            <w:vAlign w:val="center"/>
          </w:tcPr>
          <w:p>
            <w:pPr>
              <w:pStyle w:val="TableContents"/>
              <w:bidi w:val="0"/>
              <w:spacing w:before="0" w:after="283"/>
              <w:jc w:val="left"/>
              <w:rPr/>
            </w:pPr>
            <w:r>
              <w:rPr/>
              <w:t>Other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519" w:name="xdx_409_eus-gaap--IncomeTaxReconciliatio"/>
            <w:bookmarkEnd w:id="519"/>
          </w:p>
        </w:tc>
      </w:tr>
      <w:tr>
        <w:trPr/>
        <w:tc>
          <w:tcPr>
            <w:tcW w:w="4805" w:type="dxa"/>
            <w:tcBorders/>
            <w:shd w:fill="FFFFFF" w:val="clear"/>
            <w:vAlign w:val="center"/>
          </w:tcPr>
          <w:p>
            <w:pPr>
              <w:pStyle w:val="TableContents"/>
              <w:bidi w:val="0"/>
              <w:spacing w:before="0" w:after="283"/>
              <w:jc w:val="left"/>
              <w:rPr/>
            </w:pPr>
            <w:r>
              <w:rPr/>
              <w:t>    </w:t>
            </w:r>
            <w:r>
              <w:rPr/>
              <w:t>Expiration of net operating losses and credits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968</w:t>
            </w:r>
          </w:p>
        </w:tc>
        <w:tc>
          <w:tcPr>
            <w:tcW w:w="110" w:type="dxa"/>
            <w:tcBorders/>
            <w:shd w:fill="FFFFFF" w:val="clear"/>
            <w:vAlign w:val="center"/>
          </w:tcPr>
          <w:p>
            <w:pPr>
              <w:pStyle w:val="TableContents"/>
              <w:bidi w:val="0"/>
              <w:spacing w:before="0" w:after="283"/>
              <w:jc w:val="left"/>
              <w:rPr/>
            </w:pPr>
            <w:r>
              <w:rPr/>
              <w:t> </w:t>
            </w:r>
            <w:bookmarkStart w:id="520" w:name="xdx_40A_eus-gaap--EffectiveIncomeTaxRate"/>
            <w:bookmarkEnd w:id="520"/>
          </w:p>
        </w:tc>
      </w:tr>
      <w:tr>
        <w:trPr/>
        <w:tc>
          <w:tcPr>
            <w:tcW w:w="4805" w:type="dxa"/>
            <w:tcBorders/>
            <w:shd w:fill="CCEEFF" w:val="clear"/>
            <w:vAlign w:val="center"/>
          </w:tcPr>
          <w:p>
            <w:pPr>
              <w:pStyle w:val="TableContents"/>
              <w:bidi w:val="0"/>
              <w:spacing w:before="0" w:after="283"/>
              <w:jc w:val="left"/>
              <w:rPr/>
            </w:pPr>
            <w:r>
              <w:rPr/>
              <w:t>   </w:t>
            </w:r>
            <w:r>
              <w:rPr/>
              <w:t>Stock based compensation true-up</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207</w:t>
            </w:r>
          </w:p>
        </w:tc>
        <w:tc>
          <w:tcPr>
            <w:tcW w:w="110" w:type="dxa"/>
            <w:tcBorders/>
            <w:shd w:fill="CCEEFF" w:val="clear"/>
            <w:vAlign w:val="center"/>
          </w:tcPr>
          <w:p>
            <w:pPr>
              <w:pStyle w:val="TableContents"/>
              <w:bidi w:val="0"/>
              <w:spacing w:before="0" w:after="283"/>
              <w:jc w:val="left"/>
              <w:rPr/>
            </w:pPr>
            <w:r>
              <w:rPr/>
              <w:t> </w:t>
            </w:r>
            <w:bookmarkStart w:id="521" w:name="xdx_400_ecustom--EffectiveIncomeTaxRateR"/>
            <w:bookmarkEnd w:id="521"/>
          </w:p>
        </w:tc>
      </w:tr>
      <w:tr>
        <w:trPr/>
        <w:tc>
          <w:tcPr>
            <w:tcW w:w="4805" w:type="dxa"/>
            <w:tcBorders/>
            <w:shd w:fill="FFFFFF" w:val="clear"/>
            <w:vAlign w:val="center"/>
          </w:tcPr>
          <w:p>
            <w:pPr>
              <w:pStyle w:val="TableContents"/>
              <w:bidi w:val="0"/>
              <w:spacing w:before="0" w:after="283"/>
              <w:jc w:val="left"/>
              <w:rPr/>
            </w:pPr>
            <w:r>
              <w:rPr/>
              <w:t>   </w:t>
            </w:r>
            <w:r>
              <w:rPr/>
              <w:t>Section 174 true-up</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167</w:t>
            </w:r>
          </w:p>
        </w:tc>
        <w:tc>
          <w:tcPr>
            <w:tcW w:w="110" w:type="dxa"/>
            <w:tcBorders/>
            <w:shd w:fill="FFFFFF" w:val="clear"/>
            <w:vAlign w:val="center"/>
          </w:tcPr>
          <w:p>
            <w:pPr>
              <w:pStyle w:val="TableContents"/>
              <w:bidi w:val="0"/>
              <w:spacing w:before="0" w:after="283"/>
              <w:jc w:val="left"/>
              <w:rPr/>
            </w:pPr>
            <w:r>
              <w:rPr/>
              <w:t> </w:t>
            </w:r>
            <w:bookmarkStart w:id="522" w:name="xdx_403_eus-gaap--IncomeTaxReconciliatio"/>
            <w:bookmarkEnd w:id="522"/>
          </w:p>
        </w:tc>
      </w:tr>
      <w:tr>
        <w:trPr/>
        <w:tc>
          <w:tcPr>
            <w:tcW w:w="4805" w:type="dxa"/>
            <w:tcBorders/>
            <w:shd w:fill="CCEEFF" w:val="clear"/>
            <w:vAlign w:val="center"/>
          </w:tcPr>
          <w:p>
            <w:pPr>
              <w:pStyle w:val="TableContents"/>
              <w:bidi w:val="0"/>
              <w:spacing w:before="0" w:after="283"/>
              <w:jc w:val="left"/>
              <w:rPr/>
            </w:pPr>
            <w:r>
              <w:rPr/>
              <w:t>   </w:t>
            </w:r>
            <w:r>
              <w:rPr/>
              <w:t>R&amp;D credit true-up</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(153</w:t>
            </w:r>
          </w:p>
        </w:tc>
        <w:tc>
          <w:tcPr>
            <w:tcW w:w="110" w:type="dxa"/>
            <w:tcBorders/>
            <w:shd w:fill="CCEEFF" w:val="clear"/>
            <w:vAlign w:val="center"/>
          </w:tcPr>
          <w:p>
            <w:pPr>
              <w:pStyle w:val="TableContents"/>
              <w:bidi w:val="0"/>
              <w:spacing w:before="0" w:after="283"/>
              <w:jc w:val="left"/>
              <w:rPr/>
            </w:pPr>
            <w:r>
              <w:rPr/>
              <w:t>)</w:t>
            </w:r>
            <w:bookmarkStart w:id="523" w:name="xdx_40F_eus-gaap--IncomeTaxReconciliatio"/>
            <w:bookmarkEnd w:id="523"/>
          </w:p>
        </w:tc>
      </w:tr>
      <w:tr>
        <w:trPr/>
        <w:tc>
          <w:tcPr>
            <w:tcW w:w="4805" w:type="dxa"/>
            <w:tcBorders/>
            <w:shd w:fill="FFFFFF" w:val="clear"/>
            <w:vAlign w:val="center"/>
          </w:tcPr>
          <w:p>
            <w:pPr>
              <w:pStyle w:val="TableContents"/>
              <w:bidi w:val="0"/>
              <w:spacing w:before="0" w:after="283"/>
              <w:jc w:val="left"/>
              <w:rPr/>
            </w:pPr>
            <w:r>
              <w:rPr/>
              <w:t>   </w:t>
            </w:r>
            <w:r>
              <w:rPr/>
              <w:t>Miscellaneous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1</w:t>
            </w:r>
          </w:p>
        </w:tc>
        <w:tc>
          <w:tcPr>
            <w:tcW w:w="110" w:type="dxa"/>
            <w:tcBorders/>
            <w:shd w:fill="FFFFFF" w:val="clear"/>
            <w:vAlign w:val="center"/>
          </w:tcPr>
          <w:p>
            <w:pPr>
              <w:pStyle w:val="TableContents"/>
              <w:bidi w:val="0"/>
              <w:spacing w:before="0" w:after="283"/>
              <w:jc w:val="left"/>
              <w:rPr/>
            </w:pPr>
            <w:r>
              <w:rPr/>
              <w:t> </w:t>
            </w:r>
            <w:bookmarkStart w:id="524" w:name="xdx_400_eus-gaap--IncomeTaxReconciliatio"/>
            <w:bookmarkEnd w:id="524"/>
          </w:p>
        </w:tc>
      </w:tr>
      <w:tr>
        <w:trPr/>
        <w:tc>
          <w:tcPr>
            <w:tcW w:w="4805" w:type="dxa"/>
            <w:tcBorders/>
            <w:shd w:fill="CCEEFF" w:val="clear"/>
            <w:vAlign w:val="center"/>
          </w:tcPr>
          <w:p>
            <w:pPr>
              <w:pStyle w:val="TableContents"/>
              <w:bidi w:val="0"/>
              <w:spacing w:before="0" w:after="283"/>
              <w:jc w:val="left"/>
              <w:rPr/>
            </w:pPr>
            <w:r>
              <w:rPr/>
              <w:t>Change in valuation allowance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pPr>
            <w:r>
              <w:rPr/>
              <w:t>(1,133</w:t>
            </w:r>
          </w:p>
        </w:tc>
        <w:tc>
          <w:tcPr>
            <w:tcW w:w="110" w:type="dxa"/>
            <w:tcBorders/>
            <w:shd w:fill="CCEEFF" w:val="clear"/>
            <w:vAlign w:val="center"/>
          </w:tcPr>
          <w:p>
            <w:pPr>
              <w:pStyle w:val="TableContents"/>
              <w:bidi w:val="0"/>
              <w:spacing w:before="0" w:after="283"/>
              <w:jc w:val="left"/>
              <w:rPr/>
            </w:pPr>
            <w:r>
              <w:rPr/>
              <w:t>)</w:t>
            </w:r>
            <w:bookmarkStart w:id="525" w:name="xdx_40A_eus-gaap--IncomeTaxExpenseBenefi"/>
            <w:bookmarkEnd w:id="525"/>
          </w:p>
        </w:tc>
      </w:tr>
      <w:tr>
        <w:trPr/>
        <w:tc>
          <w:tcPr>
            <w:tcW w:w="48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35" w:type="dxa"/>
            <w:tcBorders>
              <w:bottom w:val="double" w:sz="6" w:space="0" w:color="000000"/>
            </w:tcBorders>
            <w:shd w:fill="FFFFFF" w:val="clear"/>
            <w:tcMar>
              <w:bottom w:w="28" w:type="dxa"/>
            </w:tcMar>
            <w:vAlign w:val="center"/>
          </w:tcPr>
          <w:p>
            <w:pPr>
              <w:pStyle w:val="TableContents"/>
              <w:bidi w:val="0"/>
              <w:spacing w:before="0" w:after="283"/>
              <w:jc w:val="right"/>
              <w:rPr/>
            </w:pPr>
            <w:r>
              <w:rPr/>
              <w:t>73</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taxes in Illinois made up the majority of the tax effect in this category and the supplemental cash flow information in the Consolidated Statement of Cash Flows.</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table is a reconciliation of the U.S. federal statutory rate of </w:t>
      </w:r>
      <w:bookmarkStart w:id="526" w:name="xdx_905_eus-gaap--EffectiveIncomeTaxRate"/>
      <w:bookmarkEnd w:id="526"/>
      <w:r>
        <w:rPr>
          <w:rFonts w:ascii="Times New Roman;Times;Serif" w:hAnsi="Times New Roman;Times;Serif"/>
          <w:b w:val="false"/>
          <w:i w:val="false"/>
          <w:caps w:val="false"/>
          <w:smallCaps w:val="false"/>
          <w:sz w:val="20"/>
        </w:rPr>
        <w:t>21% to the Company's effective rate for the year ended December 31, 2024, in accordance with the guidance prior to the adoption of ASU 2023-09:</w:t>
      </w:r>
    </w:p>
    <w:p>
      <w:pPr>
        <w:pStyle w:val="TextBody"/>
        <w:bidi w:val="0"/>
        <w:spacing w:before="0" w:after="0"/>
        <w:ind w:left="0" w:right="0" w:hanging="0"/>
        <w:jc w:val="left"/>
        <w:rPr>
          <w:caps w:val="false"/>
          <w:smallCaps w:val="false"/>
        </w:rPr>
      </w:pPr>
      <w:r>
        <w:rPr>
          <w:caps w:val="false"/>
          <w:smallCaps w:val="false"/>
        </w:rPr>
        <w:t> </w:t>
      </w:r>
    </w:p>
    <w:tbl>
      <w:tblPr>
        <w:tblW w:w="5570" w:type="dxa"/>
        <w:jc w:val="left"/>
        <w:tblInd w:w="0" w:type="dxa"/>
        <w:tblLayout w:type="fixed"/>
        <w:tblCellMar>
          <w:top w:w="0" w:type="dxa"/>
          <w:left w:w="0" w:type="dxa"/>
          <w:bottom w:w="0" w:type="dxa"/>
          <w:right w:w="0" w:type="dxa"/>
        </w:tblCellMar>
      </w:tblPr>
      <w:tblGrid>
        <w:gridCol w:w="4625"/>
        <w:gridCol w:w="60"/>
        <w:gridCol w:w="140"/>
        <w:gridCol w:w="635"/>
        <w:gridCol w:w="110"/>
      </w:tblGrid>
      <w:tr>
        <w:trPr/>
        <w:tc>
          <w:tcPr>
            <w:tcW w:w="46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27" w:name="xdx_499_20240101__20241231_zUFt7Fr1zyp6"/>
            <w:bookmarkEnd w:id="527"/>
          </w:p>
        </w:tc>
        <w:tc>
          <w:tcPr>
            <w:tcW w:w="7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bookmarkStart w:id="528" w:name="xdx_400_eus-gaap--IncomeTaxReconciliatio"/>
            <w:bookmarkEnd w:id="528"/>
          </w:p>
        </w:tc>
      </w:tr>
      <w:tr>
        <w:trPr/>
        <w:tc>
          <w:tcPr>
            <w:tcW w:w="4625" w:type="dxa"/>
            <w:tcBorders/>
            <w:shd w:fill="CCEEFF" w:val="clear"/>
            <w:vAlign w:val="center"/>
          </w:tcPr>
          <w:p>
            <w:pPr>
              <w:pStyle w:val="TableContents"/>
              <w:bidi w:val="0"/>
              <w:spacing w:before="0" w:after="283"/>
              <w:jc w:val="left"/>
              <w:rPr/>
            </w:pPr>
            <w:r>
              <w:rPr/>
              <w:t>Income tax credit at statutory rates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937</w:t>
            </w:r>
          </w:p>
        </w:tc>
        <w:tc>
          <w:tcPr>
            <w:tcW w:w="110" w:type="dxa"/>
            <w:tcBorders/>
            <w:shd w:fill="CCEEFF" w:val="clear"/>
            <w:vAlign w:val="center"/>
          </w:tcPr>
          <w:p>
            <w:pPr>
              <w:pStyle w:val="TableContents"/>
              <w:bidi w:val="0"/>
              <w:spacing w:before="0" w:after="283"/>
              <w:jc w:val="left"/>
              <w:rPr/>
            </w:pPr>
            <w:r>
              <w:rPr/>
              <w:t> </w:t>
            </w:r>
            <w:bookmarkStart w:id="529" w:name="xdx_406_ecustom--IncomeTaxReconciliation"/>
            <w:bookmarkEnd w:id="529"/>
          </w:p>
        </w:tc>
      </w:tr>
      <w:tr>
        <w:trPr/>
        <w:tc>
          <w:tcPr>
            <w:tcW w:w="4625" w:type="dxa"/>
            <w:tcBorders/>
            <w:shd w:fill="FFFFFF" w:val="clear"/>
            <w:vAlign w:val="center"/>
          </w:tcPr>
          <w:p>
            <w:pPr>
              <w:pStyle w:val="TableContents"/>
              <w:bidi w:val="0"/>
              <w:spacing w:before="0" w:after="283"/>
              <w:jc w:val="left"/>
              <w:rPr/>
            </w:pPr>
            <w:r>
              <w:rPr/>
              <w:t>Under accrual of income taxes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(1</w:t>
            </w:r>
          </w:p>
        </w:tc>
        <w:tc>
          <w:tcPr>
            <w:tcW w:w="110" w:type="dxa"/>
            <w:tcBorders/>
            <w:shd w:fill="FFFFFF" w:val="clear"/>
            <w:vAlign w:val="center"/>
          </w:tcPr>
          <w:p>
            <w:pPr>
              <w:pStyle w:val="TableContents"/>
              <w:bidi w:val="0"/>
              <w:spacing w:before="0" w:after="283"/>
              <w:jc w:val="left"/>
              <w:rPr/>
            </w:pPr>
            <w:r>
              <w:rPr/>
              <w:t>)</w:t>
            </w:r>
            <w:bookmarkStart w:id="530" w:name="xdx_403_eus-gaap--IncomeTaxReconciliatio"/>
            <w:bookmarkEnd w:id="530"/>
          </w:p>
        </w:tc>
      </w:tr>
      <w:tr>
        <w:trPr/>
        <w:tc>
          <w:tcPr>
            <w:tcW w:w="4625" w:type="dxa"/>
            <w:tcBorders/>
            <w:shd w:fill="CCEEFF" w:val="clear"/>
            <w:vAlign w:val="center"/>
          </w:tcPr>
          <w:p>
            <w:pPr>
              <w:pStyle w:val="TableContents"/>
              <w:bidi w:val="0"/>
              <w:spacing w:before="0" w:after="283"/>
              <w:jc w:val="left"/>
              <w:rPr/>
            </w:pPr>
            <w:r>
              <w:rPr/>
              <w:t>Nondeductible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5</w:t>
            </w:r>
          </w:p>
        </w:tc>
        <w:tc>
          <w:tcPr>
            <w:tcW w:w="110" w:type="dxa"/>
            <w:tcBorders/>
            <w:shd w:fill="CCEEFF" w:val="clear"/>
            <w:vAlign w:val="center"/>
          </w:tcPr>
          <w:p>
            <w:pPr>
              <w:pStyle w:val="TableContents"/>
              <w:bidi w:val="0"/>
              <w:spacing w:before="0" w:after="283"/>
              <w:jc w:val="left"/>
              <w:rPr/>
            </w:pPr>
            <w:r>
              <w:rPr/>
              <w:t> </w:t>
            </w:r>
            <w:bookmarkStart w:id="531" w:name="xdx_406_eus-gaap--IncomeTaxReconciliatio"/>
            <w:bookmarkEnd w:id="531"/>
          </w:p>
        </w:tc>
      </w:tr>
      <w:tr>
        <w:trPr/>
        <w:tc>
          <w:tcPr>
            <w:tcW w:w="4625" w:type="dxa"/>
            <w:tcBorders/>
            <w:shd w:fill="FFFFFF" w:val="clear"/>
            <w:vAlign w:val="center"/>
          </w:tcPr>
          <w:p>
            <w:pPr>
              <w:pStyle w:val="TableContents"/>
              <w:bidi w:val="0"/>
              <w:spacing w:before="0" w:after="283"/>
              <w:jc w:val="left"/>
              <w:rPr/>
            </w:pPr>
            <w:r>
              <w:rPr/>
              <w:t>Recorded tax credits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(116</w:t>
            </w:r>
          </w:p>
        </w:tc>
        <w:tc>
          <w:tcPr>
            <w:tcW w:w="110" w:type="dxa"/>
            <w:tcBorders/>
            <w:shd w:fill="FFFFFF" w:val="clear"/>
            <w:vAlign w:val="center"/>
          </w:tcPr>
          <w:p>
            <w:pPr>
              <w:pStyle w:val="TableContents"/>
              <w:bidi w:val="0"/>
              <w:spacing w:before="0" w:after="283"/>
              <w:jc w:val="left"/>
              <w:rPr/>
            </w:pPr>
            <w:r>
              <w:rPr/>
              <w:t>)</w:t>
            </w:r>
            <w:bookmarkStart w:id="532" w:name="xdx_409_eus-gaap--IncomeTaxReconciliatio"/>
            <w:bookmarkEnd w:id="532"/>
          </w:p>
        </w:tc>
      </w:tr>
      <w:tr>
        <w:trPr/>
        <w:tc>
          <w:tcPr>
            <w:tcW w:w="4625" w:type="dxa"/>
            <w:tcBorders/>
            <w:shd w:fill="CCEEFF" w:val="clear"/>
            <w:vAlign w:val="center"/>
          </w:tcPr>
          <w:p>
            <w:pPr>
              <w:pStyle w:val="TableContents"/>
              <w:bidi w:val="0"/>
              <w:spacing w:before="0" w:after="283"/>
              <w:jc w:val="left"/>
              <w:rPr/>
            </w:pPr>
            <w:r>
              <w:rPr/>
              <w:t>Permanent tax deduction stock options exercised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(27</w:t>
            </w:r>
          </w:p>
        </w:tc>
        <w:tc>
          <w:tcPr>
            <w:tcW w:w="110" w:type="dxa"/>
            <w:tcBorders/>
            <w:shd w:fill="CCEEFF" w:val="clear"/>
            <w:vAlign w:val="center"/>
          </w:tcPr>
          <w:p>
            <w:pPr>
              <w:pStyle w:val="TableContents"/>
              <w:bidi w:val="0"/>
              <w:spacing w:before="0" w:after="283"/>
              <w:jc w:val="left"/>
              <w:rPr/>
            </w:pPr>
            <w:r>
              <w:rPr/>
              <w:t>)</w:t>
            </w:r>
            <w:bookmarkStart w:id="533" w:name="xdx_407_eus-gaap--IncomeTaxReconciliatio"/>
            <w:bookmarkEnd w:id="533"/>
          </w:p>
        </w:tc>
      </w:tr>
      <w:tr>
        <w:trPr/>
        <w:tc>
          <w:tcPr>
            <w:tcW w:w="4625" w:type="dxa"/>
            <w:tcBorders/>
            <w:shd w:fill="FFFFFF" w:val="clear"/>
            <w:vAlign w:val="center"/>
          </w:tcPr>
          <w:p>
            <w:pPr>
              <w:pStyle w:val="TableContents"/>
              <w:bidi w:val="0"/>
              <w:spacing w:before="0" w:after="283"/>
              <w:jc w:val="left"/>
              <w:rPr/>
            </w:pPr>
            <w:r>
              <w:rPr/>
              <w:t>State income tax, net of federal benefits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179</w:t>
            </w:r>
          </w:p>
        </w:tc>
        <w:tc>
          <w:tcPr>
            <w:tcW w:w="110" w:type="dxa"/>
            <w:tcBorders/>
            <w:shd w:fill="FFFFFF" w:val="clear"/>
            <w:vAlign w:val="center"/>
          </w:tcPr>
          <w:p>
            <w:pPr>
              <w:pStyle w:val="TableContents"/>
              <w:bidi w:val="0"/>
              <w:spacing w:before="0" w:after="283"/>
              <w:jc w:val="left"/>
              <w:rPr/>
            </w:pPr>
            <w:r>
              <w:rPr/>
              <w:t> </w:t>
            </w:r>
            <w:bookmarkStart w:id="534" w:name="xdx_40B_eus-gaap--IncomeTaxReconciliatio"/>
            <w:bookmarkEnd w:id="534"/>
          </w:p>
        </w:tc>
      </w:tr>
      <w:tr>
        <w:trPr/>
        <w:tc>
          <w:tcPr>
            <w:tcW w:w="4625" w:type="dxa"/>
            <w:tcBorders/>
            <w:shd w:fill="CCEEFF" w:val="clear"/>
            <w:vAlign w:val="center"/>
          </w:tcPr>
          <w:p>
            <w:pPr>
              <w:pStyle w:val="TableContents"/>
              <w:bidi w:val="0"/>
              <w:spacing w:before="0" w:after="283"/>
              <w:jc w:val="left"/>
              <w:rPr/>
            </w:pPr>
            <w:r>
              <w:rPr/>
              <w:t>Expiration of net operating losses and credits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332</w:t>
            </w:r>
          </w:p>
        </w:tc>
        <w:tc>
          <w:tcPr>
            <w:tcW w:w="110" w:type="dxa"/>
            <w:tcBorders/>
            <w:shd w:fill="CCEEFF" w:val="clear"/>
            <w:vAlign w:val="center"/>
          </w:tcPr>
          <w:p>
            <w:pPr>
              <w:pStyle w:val="TableContents"/>
              <w:bidi w:val="0"/>
              <w:spacing w:before="0" w:after="283"/>
              <w:jc w:val="left"/>
              <w:rPr/>
            </w:pPr>
            <w:r>
              <w:rPr/>
              <w:t> </w:t>
            </w:r>
            <w:bookmarkStart w:id="535" w:name="xdx_400_eus-gaap--IncomeTaxReconciliatio"/>
            <w:bookmarkEnd w:id="535"/>
          </w:p>
        </w:tc>
      </w:tr>
      <w:tr>
        <w:trPr/>
        <w:tc>
          <w:tcPr>
            <w:tcW w:w="4625" w:type="dxa"/>
            <w:tcBorders/>
            <w:shd w:fill="FFFFFF" w:val="clear"/>
            <w:vAlign w:val="center"/>
          </w:tcPr>
          <w:p>
            <w:pPr>
              <w:pStyle w:val="TableContents"/>
              <w:bidi w:val="0"/>
              <w:spacing w:before="0" w:after="283"/>
              <w:jc w:val="left"/>
              <w:rPr/>
            </w:pPr>
            <w:r>
              <w:rPr/>
              <w:t>Effect of change in deferred tax rate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49</w:t>
            </w:r>
          </w:p>
        </w:tc>
        <w:tc>
          <w:tcPr>
            <w:tcW w:w="110" w:type="dxa"/>
            <w:tcBorders/>
            <w:shd w:fill="FFFFFF" w:val="clear"/>
            <w:vAlign w:val="center"/>
          </w:tcPr>
          <w:p>
            <w:pPr>
              <w:pStyle w:val="TableContents"/>
              <w:bidi w:val="0"/>
              <w:spacing w:before="0" w:after="283"/>
              <w:jc w:val="left"/>
              <w:rPr/>
            </w:pPr>
            <w:r>
              <w:rPr/>
              <w:t> </w:t>
            </w:r>
            <w:bookmarkStart w:id="536" w:name="xdx_40C_ecustom--IncomeTaxReconciliation"/>
            <w:bookmarkEnd w:id="536"/>
          </w:p>
        </w:tc>
      </w:tr>
      <w:tr>
        <w:trPr/>
        <w:tc>
          <w:tcPr>
            <w:tcW w:w="4625" w:type="dxa"/>
            <w:tcBorders/>
            <w:shd w:fill="CCEEFF" w:val="clear"/>
            <w:vAlign w:val="center"/>
          </w:tcPr>
          <w:p>
            <w:pPr>
              <w:pStyle w:val="TableContents"/>
              <w:bidi w:val="0"/>
              <w:spacing w:before="0" w:after="283"/>
              <w:jc w:val="left"/>
              <w:rPr/>
            </w:pPr>
            <w:r>
              <w:rPr/>
              <w:t>Expiration of stock options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46</w:t>
            </w:r>
          </w:p>
        </w:tc>
        <w:tc>
          <w:tcPr>
            <w:tcW w:w="110" w:type="dxa"/>
            <w:tcBorders/>
            <w:shd w:fill="CCEEFF" w:val="clear"/>
            <w:vAlign w:val="center"/>
          </w:tcPr>
          <w:p>
            <w:pPr>
              <w:pStyle w:val="TableContents"/>
              <w:bidi w:val="0"/>
              <w:spacing w:before="0" w:after="283"/>
              <w:jc w:val="left"/>
              <w:rPr/>
            </w:pPr>
            <w:r>
              <w:rPr/>
              <w:t> </w:t>
            </w:r>
            <w:bookmarkStart w:id="537" w:name="xdx_409_eus-gaap--IncomeTaxReconciliatio"/>
            <w:bookmarkEnd w:id="537"/>
          </w:p>
        </w:tc>
      </w:tr>
      <w:tr>
        <w:trPr/>
        <w:tc>
          <w:tcPr>
            <w:tcW w:w="4625" w:type="dxa"/>
            <w:tcBorders/>
            <w:shd w:fill="FFFFFF" w:val="clear"/>
            <w:vAlign w:val="center"/>
          </w:tcPr>
          <w:p>
            <w:pPr>
              <w:pStyle w:val="TableContents"/>
              <w:bidi w:val="0"/>
              <w:spacing w:before="0" w:after="283"/>
              <w:jc w:val="left"/>
              <w:rPr/>
            </w:pPr>
            <w:r>
              <w:rPr/>
              <w:t>Other</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(39</w:t>
            </w:r>
          </w:p>
        </w:tc>
        <w:tc>
          <w:tcPr>
            <w:tcW w:w="110" w:type="dxa"/>
            <w:tcBorders/>
            <w:shd w:fill="FFFFFF" w:val="clear"/>
            <w:vAlign w:val="center"/>
          </w:tcPr>
          <w:p>
            <w:pPr>
              <w:pStyle w:val="TableContents"/>
              <w:bidi w:val="0"/>
              <w:spacing w:before="0" w:after="283"/>
              <w:jc w:val="left"/>
              <w:rPr/>
            </w:pPr>
            <w:r>
              <w:rPr/>
              <w:t>)</w:t>
            </w:r>
            <w:bookmarkStart w:id="538" w:name="xdx_406_eus-gaap--IncomeTaxReconciliatio"/>
            <w:bookmarkEnd w:id="538"/>
          </w:p>
        </w:tc>
      </w:tr>
      <w:tr>
        <w:trPr/>
        <w:tc>
          <w:tcPr>
            <w:tcW w:w="4625" w:type="dxa"/>
            <w:tcBorders/>
            <w:shd w:fill="CCEEFF" w:val="clear"/>
            <w:vAlign w:val="center"/>
          </w:tcPr>
          <w:p>
            <w:pPr>
              <w:pStyle w:val="TableContents"/>
              <w:bidi w:val="0"/>
              <w:spacing w:before="0" w:after="283"/>
              <w:jc w:val="left"/>
              <w:rPr/>
            </w:pPr>
            <w:r>
              <w:rPr/>
              <w:t>Change in valuation allowance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pPr>
            <w:r>
              <w:rPr/>
              <w:t>(1,138</w:t>
            </w:r>
          </w:p>
        </w:tc>
        <w:tc>
          <w:tcPr>
            <w:tcW w:w="110" w:type="dxa"/>
            <w:tcBorders/>
            <w:shd w:fill="CCEEFF" w:val="clear"/>
            <w:vAlign w:val="center"/>
          </w:tcPr>
          <w:p>
            <w:pPr>
              <w:pStyle w:val="TableContents"/>
              <w:bidi w:val="0"/>
              <w:spacing w:before="0" w:after="283"/>
              <w:jc w:val="left"/>
              <w:rPr/>
            </w:pPr>
            <w:r>
              <w:rPr/>
              <w:t>)</w:t>
            </w:r>
            <w:bookmarkStart w:id="539" w:name="xdx_40D_eus-gaap--IncomeTaxExpenseBenefi"/>
            <w:bookmarkEnd w:id="539"/>
          </w:p>
        </w:tc>
      </w:tr>
      <w:tr>
        <w:trPr/>
        <w:tc>
          <w:tcPr>
            <w:tcW w:w="46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35" w:type="dxa"/>
            <w:tcBorders>
              <w:bottom w:val="double" w:sz="6" w:space="0" w:color="000000"/>
            </w:tcBorders>
            <w:shd w:fill="FFFFFF" w:val="clear"/>
            <w:tcMar>
              <w:bottom w:w="28" w:type="dxa"/>
            </w:tcMar>
            <w:vAlign w:val="center"/>
          </w:tcPr>
          <w:p>
            <w:pPr>
              <w:pStyle w:val="TableContents"/>
              <w:bidi w:val="0"/>
              <w:spacing w:before="0" w:after="283"/>
              <w:jc w:val="right"/>
              <w:rPr/>
            </w:pPr>
            <w:r>
              <w:rPr/>
              <w:t>227</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540" w:name="xdx_8A2_z2z5QGUgOzDe"/>
      <w:bookmarkEnd w:id="540"/>
      <w:r>
        <w:rPr>
          <w:caps w:val="false"/>
          <w:smallCaps w:val="false"/>
        </w:rPr>
        <w:t> </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F-16 </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bookmarkStart w:id="541" w:name="xdx_8B2_zEU55Pv7ARAf"/>
      <w:bookmarkStart w:id="542" w:name="xdx_894_eus-gaap--ScheduleOfDeferredTaxA"/>
      <w:bookmarkEnd w:id="541"/>
      <w:bookmarkEnd w:id="542"/>
      <w:r>
        <w:rPr>
          <w:rFonts w:ascii="Times New Roman;Times;Serif" w:hAnsi="Times New Roman;Times;Serif"/>
          <w:b w:val="false"/>
          <w:i w:val="false"/>
          <w:caps w:val="false"/>
          <w:smallCaps w:val="false"/>
          <w:sz w:val="20"/>
        </w:rPr>
        <w:t>The approximate tax effect of each type of temporary difference and carryforward that gives rise to a significant portion of deferred tax liabilities and deferred tax assets (before allocation of valuation allowances) is as follows:</w:t>
      </w:r>
    </w:p>
    <w:p>
      <w:pPr>
        <w:pStyle w:val="TextBody"/>
        <w:bidi w:val="0"/>
        <w:spacing w:before="0" w:after="0"/>
        <w:ind w:left="0" w:right="0" w:firstLine="490"/>
        <w:jc w:val="both"/>
        <w:rPr>
          <w:caps w:val="false"/>
          <w:smallCaps w:val="false"/>
        </w:rPr>
      </w:pPr>
      <w:r>
        <w:rPr>
          <w:caps w:val="false"/>
          <w:smallCaps w:val="false"/>
        </w:rPr>
        <w:t> </w:t>
      </w:r>
    </w:p>
    <w:tbl>
      <w:tblPr>
        <w:tblW w:w="7496" w:type="dxa"/>
        <w:jc w:val="left"/>
        <w:tblInd w:w="0" w:type="dxa"/>
        <w:tblLayout w:type="fixed"/>
        <w:tblCellMar>
          <w:top w:w="0" w:type="dxa"/>
          <w:left w:w="0" w:type="dxa"/>
          <w:bottom w:w="0" w:type="dxa"/>
          <w:right w:w="0" w:type="dxa"/>
        </w:tblCellMar>
      </w:tblPr>
      <w:tblGrid>
        <w:gridCol w:w="5330"/>
        <w:gridCol w:w="60"/>
        <w:gridCol w:w="143"/>
        <w:gridCol w:w="776"/>
        <w:gridCol w:w="97"/>
        <w:gridCol w:w="61"/>
        <w:gridCol w:w="143"/>
        <w:gridCol w:w="776"/>
        <w:gridCol w:w="110"/>
      </w:tblGrid>
      <w:tr>
        <w:trPr/>
        <w:tc>
          <w:tcPr>
            <w:tcW w:w="53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center"/>
              <w:rPr/>
            </w:pPr>
            <w:r>
              <w:rPr/>
              <w:t> </w:t>
            </w:r>
            <w:bookmarkStart w:id="543" w:name="xdx_49C_20251231_zY0MjGfbo41f"/>
            <w:bookmarkEnd w:id="543"/>
          </w:p>
        </w:tc>
        <w:tc>
          <w:tcPr>
            <w:tcW w:w="776" w:type="dxa"/>
            <w:tcBorders/>
            <w:vAlign w:val="center"/>
          </w:tcPr>
          <w:p>
            <w:pPr>
              <w:pStyle w:val="TableContents"/>
              <w:bidi w:val="0"/>
              <w:spacing w:before="0" w:after="283"/>
              <w:jc w:val="center"/>
              <w:rPr/>
            </w:pPr>
            <w:r>
              <w:rPr/>
              <w:t> </w:t>
            </w:r>
          </w:p>
        </w:tc>
        <w:tc>
          <w:tcPr>
            <w:tcW w:w="97" w:type="dxa"/>
            <w:tcBorders/>
            <w:vAlign w:val="center"/>
          </w:tcPr>
          <w:p>
            <w:pPr>
              <w:pStyle w:val="TableContents"/>
              <w:bidi w:val="0"/>
              <w:spacing w:before="0" w:after="283"/>
              <w:jc w:val="center"/>
              <w:rPr/>
            </w:pPr>
            <w:r>
              <w:rPr/>
              <w:t> </w:t>
            </w:r>
          </w:p>
        </w:tc>
        <w:tc>
          <w:tcPr>
            <w:tcW w:w="61" w:type="dxa"/>
            <w:tcBorders/>
            <w:vAlign w:val="center"/>
          </w:tcPr>
          <w:p>
            <w:pPr>
              <w:pStyle w:val="TableContents"/>
              <w:bidi w:val="0"/>
              <w:spacing w:before="0" w:after="283"/>
              <w:jc w:val="center"/>
              <w:rPr/>
            </w:pPr>
            <w:r>
              <w:rPr/>
              <w:t> </w:t>
            </w:r>
            <w:bookmarkStart w:id="544" w:name="xdx_495_20241231_zKqEgg58t1pg"/>
            <w:bookmarkEnd w:id="544"/>
          </w:p>
        </w:tc>
        <w:tc>
          <w:tcPr>
            <w:tcW w:w="919"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9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As of December 31,</w:t>
            </w:r>
          </w:p>
        </w:tc>
        <w:tc>
          <w:tcPr>
            <w:tcW w:w="110" w:type="dxa"/>
            <w:tcBorders/>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7"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91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bookmarkStart w:id="545" w:name="xdx_40D_eus-gaap--DeferredTaxLiabilities"/>
            <w:bookmarkEnd w:id="545"/>
          </w:p>
        </w:tc>
      </w:tr>
      <w:tr>
        <w:trPr/>
        <w:tc>
          <w:tcPr>
            <w:tcW w:w="5330" w:type="dxa"/>
            <w:tcBorders/>
            <w:vAlign w:val="center"/>
          </w:tcPr>
          <w:p>
            <w:pPr>
              <w:pStyle w:val="TableContents"/>
              <w:bidi w:val="0"/>
              <w:spacing w:before="0" w:after="283"/>
              <w:jc w:val="left"/>
              <w:rPr/>
            </w:pPr>
            <w:r>
              <w:rPr/>
              <w:t>Approximate effect of deferred tax liabilities:</w:t>
            </w:r>
          </w:p>
        </w:tc>
        <w:tc>
          <w:tcPr>
            <w:tcW w:w="60" w:type="dxa"/>
            <w:tcBorders/>
            <w:vAlign w:val="center"/>
          </w:tcPr>
          <w:p>
            <w:pPr>
              <w:pStyle w:val="TableContents"/>
              <w:bidi w:val="0"/>
              <w:spacing w:before="0" w:after="283"/>
              <w:jc w:val="left"/>
              <w:rPr/>
            </w:pPr>
            <w:r>
              <w:rPr/>
              <w:t> </w:t>
            </w:r>
          </w:p>
        </w:tc>
        <w:tc>
          <w:tcPr>
            <w:tcW w:w="919" w:type="dxa"/>
            <w:gridSpan w:val="2"/>
            <w:tcBorders/>
            <w:vAlign w:val="center"/>
          </w:tcPr>
          <w:p>
            <w:pPr>
              <w:pStyle w:val="TableContents"/>
              <w:bidi w:val="0"/>
              <w:spacing w:before="0" w:after="283"/>
              <w:jc w:val="right"/>
              <w:rPr/>
            </w:pPr>
            <w:r>
              <w:rPr/>
              <w:t> </w:t>
            </w:r>
          </w:p>
        </w:tc>
        <w:tc>
          <w:tcPr>
            <w:tcW w:w="97"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919"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bookmarkStart w:id="546" w:name="xdx_402_eus-gaap--DeferredTaxLiabilities"/>
            <w:bookmarkEnd w:id="546"/>
          </w:p>
        </w:tc>
      </w:tr>
      <w:tr>
        <w:trPr/>
        <w:tc>
          <w:tcPr>
            <w:tcW w:w="5330" w:type="dxa"/>
            <w:tcBorders/>
            <w:shd w:fill="CCEEFF" w:val="clear"/>
            <w:vAlign w:val="center"/>
          </w:tcPr>
          <w:p>
            <w:pPr>
              <w:pStyle w:val="TableContents"/>
              <w:bidi w:val="0"/>
              <w:spacing w:before="0" w:after="283"/>
              <w:jc w:val="left"/>
              <w:rPr/>
            </w:pPr>
            <w:r>
              <w:rPr/>
              <w:t>  </w:t>
            </w:r>
            <w:r>
              <w:rPr/>
              <w:t>Excess tax depreciation</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w:t>
            </w:r>
          </w:p>
        </w:tc>
        <w:tc>
          <w:tcPr>
            <w:tcW w:w="776" w:type="dxa"/>
            <w:tcBorders/>
            <w:shd w:fill="CCEEFF" w:val="clear"/>
            <w:vAlign w:val="center"/>
          </w:tcPr>
          <w:p>
            <w:pPr>
              <w:pStyle w:val="TableContents"/>
              <w:bidi w:val="0"/>
              <w:spacing w:before="0" w:after="283"/>
              <w:jc w:val="right"/>
              <w:rPr/>
            </w:pPr>
            <w:r>
              <w:rPr/>
              <w:t>(420</w:t>
            </w:r>
          </w:p>
        </w:tc>
        <w:tc>
          <w:tcPr>
            <w:tcW w:w="97" w:type="dxa"/>
            <w:tcBorders/>
            <w:shd w:fill="CCEEFF" w:val="clear"/>
            <w:vAlign w:val="center"/>
          </w:tcPr>
          <w:p>
            <w:pPr>
              <w:pStyle w:val="TableContents"/>
              <w:bidi w:val="0"/>
              <w:spacing w:before="0" w:after="283"/>
              <w:jc w:val="left"/>
              <w:rPr/>
            </w:pPr>
            <w:r>
              <w:rPr/>
              <w:t>)</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w:t>
            </w:r>
          </w:p>
        </w:tc>
        <w:tc>
          <w:tcPr>
            <w:tcW w:w="776" w:type="dxa"/>
            <w:tcBorders/>
            <w:shd w:fill="CCEEFF" w:val="clear"/>
            <w:vAlign w:val="center"/>
          </w:tcPr>
          <w:p>
            <w:pPr>
              <w:pStyle w:val="TableContents"/>
              <w:bidi w:val="0"/>
              <w:spacing w:before="0" w:after="283"/>
              <w:jc w:val="right"/>
              <w:rPr/>
            </w:pPr>
            <w:r>
              <w:rPr/>
              <w:t>(496</w:t>
            </w:r>
          </w:p>
        </w:tc>
        <w:tc>
          <w:tcPr>
            <w:tcW w:w="110" w:type="dxa"/>
            <w:tcBorders/>
            <w:shd w:fill="CCEEFF" w:val="clear"/>
            <w:vAlign w:val="center"/>
          </w:tcPr>
          <w:p>
            <w:pPr>
              <w:pStyle w:val="TableContents"/>
              <w:bidi w:val="0"/>
              <w:spacing w:before="0" w:after="283"/>
              <w:jc w:val="left"/>
              <w:rPr/>
            </w:pPr>
            <w:r>
              <w:rPr/>
              <w:t>)</w:t>
            </w:r>
            <w:bookmarkStart w:id="547" w:name="xdx_405_ecustom--DeferredTaxLiabilitiesO"/>
            <w:bookmarkEnd w:id="547"/>
          </w:p>
        </w:tc>
      </w:tr>
      <w:tr>
        <w:trPr/>
        <w:tc>
          <w:tcPr>
            <w:tcW w:w="5330" w:type="dxa"/>
            <w:tcBorders/>
            <w:shd w:fill="FFFFFF" w:val="clear"/>
            <w:vAlign w:val="center"/>
          </w:tcPr>
          <w:p>
            <w:pPr>
              <w:pStyle w:val="TableContents"/>
              <w:bidi w:val="0"/>
              <w:spacing w:before="0" w:after="283"/>
              <w:jc w:val="left"/>
              <w:rPr/>
            </w:pPr>
            <w:r>
              <w:rPr/>
              <w:t>  </w:t>
            </w:r>
            <w:r>
              <w:rPr/>
              <w:t>ASC 842 operating lease asset</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76" w:type="dxa"/>
            <w:tcBorders>
              <w:bottom w:val="single" w:sz="8" w:space="0" w:color="000000"/>
            </w:tcBorders>
            <w:shd w:fill="FFFFFF" w:val="clear"/>
            <w:tcMar>
              <w:bottom w:w="28" w:type="dxa"/>
            </w:tcMar>
            <w:vAlign w:val="center"/>
          </w:tcPr>
          <w:p>
            <w:pPr>
              <w:pStyle w:val="TableContents"/>
              <w:bidi w:val="0"/>
              <w:spacing w:before="0" w:after="283"/>
              <w:jc w:val="right"/>
              <w:rPr/>
            </w:pPr>
            <w:r>
              <w:rPr/>
              <w:t>(1,798</w:t>
            </w:r>
          </w:p>
        </w:tc>
        <w:tc>
          <w:tcPr>
            <w:tcW w:w="97" w:type="dxa"/>
            <w:tcBorders/>
            <w:shd w:fill="FFFFFF" w:val="clear"/>
            <w:vAlign w:val="center"/>
          </w:tcPr>
          <w:p>
            <w:pPr>
              <w:pStyle w:val="TableContents"/>
              <w:bidi w:val="0"/>
              <w:spacing w:before="0" w:after="283"/>
              <w:jc w:val="left"/>
              <w:rPr/>
            </w:pPr>
            <w:r>
              <w:rPr/>
              <w:t>)</w:t>
            </w:r>
          </w:p>
        </w:tc>
        <w:tc>
          <w:tcPr>
            <w:tcW w:w="61" w:type="dxa"/>
            <w:tcBorders/>
            <w:shd w:fill="FFFFFF" w:val="clear"/>
            <w:vAlign w:val="center"/>
          </w:tcPr>
          <w:p>
            <w:pPr>
              <w:pStyle w:val="TableContents"/>
              <w:bidi w:val="0"/>
              <w:spacing w:before="0" w:after="283"/>
              <w:jc w:val="left"/>
              <w:rPr/>
            </w:pPr>
            <w:r>
              <w:rPr/>
              <w:t> </w:t>
            </w:r>
          </w:p>
        </w:tc>
        <w:tc>
          <w:tcPr>
            <w:tcW w:w="14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76" w:type="dxa"/>
            <w:tcBorders>
              <w:bottom w:val="single" w:sz="8" w:space="0" w:color="000000"/>
            </w:tcBorders>
            <w:shd w:fill="FFFFFF" w:val="clear"/>
            <w:tcMar>
              <w:bottom w:w="28" w:type="dxa"/>
            </w:tcMar>
            <w:vAlign w:val="center"/>
          </w:tcPr>
          <w:p>
            <w:pPr>
              <w:pStyle w:val="TableContents"/>
              <w:bidi w:val="0"/>
              <w:spacing w:before="0" w:after="283"/>
              <w:jc w:val="right"/>
              <w:rPr/>
            </w:pPr>
            <w:r>
              <w:rPr/>
              <w:t>(1,938</w:t>
            </w:r>
          </w:p>
        </w:tc>
        <w:tc>
          <w:tcPr>
            <w:tcW w:w="110" w:type="dxa"/>
            <w:tcBorders/>
            <w:shd w:fill="FFFFFF" w:val="clear"/>
            <w:vAlign w:val="center"/>
          </w:tcPr>
          <w:p>
            <w:pPr>
              <w:pStyle w:val="TableContents"/>
              <w:bidi w:val="0"/>
              <w:spacing w:before="0" w:after="283"/>
              <w:jc w:val="left"/>
              <w:rPr/>
            </w:pPr>
            <w:r>
              <w:rPr/>
              <w:t>)</w:t>
            </w:r>
            <w:bookmarkStart w:id="548" w:name="xdx_405_eus-gaap--DeferredIncomeTaxLiabi"/>
            <w:bookmarkEnd w:id="548"/>
          </w:p>
        </w:tc>
      </w:tr>
      <w:tr>
        <w:trPr/>
        <w:tc>
          <w:tcPr>
            <w:tcW w:w="5330" w:type="dxa"/>
            <w:tcBorders/>
            <w:shd w:fill="CCEEFF" w:val="clear"/>
            <w:vAlign w:val="center"/>
          </w:tcPr>
          <w:p>
            <w:pPr>
              <w:pStyle w:val="TableContents"/>
              <w:bidi w:val="0"/>
              <w:spacing w:before="0" w:after="283"/>
              <w:jc w:val="left"/>
              <w:rPr/>
            </w:pPr>
            <w:r>
              <w:rPr/>
              <w:t>     </w:t>
            </w:r>
            <w:r>
              <w:rPr/>
              <w:t>Total approximate tax effect of deferred tax liabilities</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776" w:type="dxa"/>
            <w:tcBorders/>
            <w:shd w:fill="CCEEFF" w:val="clear"/>
            <w:vAlign w:val="center"/>
          </w:tcPr>
          <w:p>
            <w:pPr>
              <w:pStyle w:val="TableContents"/>
              <w:bidi w:val="0"/>
              <w:spacing w:before="0" w:after="283"/>
              <w:jc w:val="right"/>
              <w:rPr/>
            </w:pPr>
            <w:r>
              <w:rPr/>
              <w:t>(2,218</w:t>
            </w:r>
          </w:p>
        </w:tc>
        <w:tc>
          <w:tcPr>
            <w:tcW w:w="97" w:type="dxa"/>
            <w:tcBorders/>
            <w:shd w:fill="CCEEFF" w:val="clear"/>
            <w:vAlign w:val="center"/>
          </w:tcPr>
          <w:p>
            <w:pPr>
              <w:pStyle w:val="TableContents"/>
              <w:bidi w:val="0"/>
              <w:spacing w:before="0" w:after="283"/>
              <w:jc w:val="left"/>
              <w:rPr/>
            </w:pPr>
            <w:r>
              <w:rPr/>
              <w:t>)</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776" w:type="dxa"/>
            <w:tcBorders/>
            <w:shd w:fill="CCEEFF" w:val="clear"/>
            <w:vAlign w:val="center"/>
          </w:tcPr>
          <w:p>
            <w:pPr>
              <w:pStyle w:val="TableContents"/>
              <w:bidi w:val="0"/>
              <w:spacing w:before="0" w:after="283"/>
              <w:jc w:val="right"/>
              <w:rPr/>
            </w:pPr>
            <w:r>
              <w:rPr/>
              <w:t>(2,434</w:t>
            </w:r>
          </w:p>
        </w:tc>
        <w:tc>
          <w:tcPr>
            <w:tcW w:w="110" w:type="dxa"/>
            <w:tcBorders/>
            <w:shd w:fill="CCEEFF" w:val="clear"/>
            <w:vAlign w:val="center"/>
          </w:tcPr>
          <w:p>
            <w:pPr>
              <w:pStyle w:val="TableContents"/>
              <w:bidi w:val="0"/>
              <w:spacing w:before="0" w:after="283"/>
              <w:jc w:val="left"/>
              <w:rPr/>
            </w:pPr>
            <w:r>
              <w:rPr/>
              <w:t>)</w:t>
            </w:r>
          </w:p>
        </w:tc>
      </w:tr>
      <w:tr>
        <w:trPr/>
        <w:tc>
          <w:tcPr>
            <w:tcW w:w="53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776"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776"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549" w:name="xdx_40C_eus-gaap--ComponentsOfDeferredTa"/>
            <w:bookmarkEnd w:id="549"/>
          </w:p>
        </w:tc>
      </w:tr>
      <w:tr>
        <w:trPr/>
        <w:tc>
          <w:tcPr>
            <w:tcW w:w="5330" w:type="dxa"/>
            <w:tcBorders/>
            <w:shd w:fill="CCEEFF" w:val="clear"/>
            <w:vAlign w:val="center"/>
          </w:tcPr>
          <w:p>
            <w:pPr>
              <w:pStyle w:val="TableContents"/>
              <w:bidi w:val="0"/>
              <w:spacing w:before="0" w:after="283"/>
              <w:jc w:val="left"/>
              <w:rPr/>
            </w:pPr>
            <w:r>
              <w:rPr/>
              <w:t>Approximate effect of deferred tax assets:</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776"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77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550" w:name="xdx_40F_eus-gaap--DeferredTaxAssetsOpera"/>
            <w:bookmarkEnd w:id="550"/>
          </w:p>
        </w:tc>
      </w:tr>
      <w:tr>
        <w:trPr/>
        <w:tc>
          <w:tcPr>
            <w:tcW w:w="5330" w:type="dxa"/>
            <w:tcBorders/>
            <w:shd w:fill="FFFFFF" w:val="clear"/>
            <w:vAlign w:val="center"/>
          </w:tcPr>
          <w:p>
            <w:pPr>
              <w:pStyle w:val="TableContents"/>
              <w:bidi w:val="0"/>
              <w:spacing w:before="0" w:after="283"/>
              <w:jc w:val="left"/>
              <w:rPr/>
            </w:pPr>
            <w:r>
              <w:rPr/>
              <w:t>  </w:t>
            </w:r>
            <w:r>
              <w:rPr/>
              <w:t>Net operating loss carryforwards</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w:t>
            </w:r>
          </w:p>
        </w:tc>
        <w:tc>
          <w:tcPr>
            <w:tcW w:w="776" w:type="dxa"/>
            <w:tcBorders/>
            <w:shd w:fill="FFFFFF" w:val="clear"/>
            <w:vAlign w:val="center"/>
          </w:tcPr>
          <w:p>
            <w:pPr>
              <w:pStyle w:val="TableContents"/>
              <w:bidi w:val="0"/>
              <w:spacing w:before="0" w:after="283"/>
              <w:jc w:val="right"/>
              <w:rPr/>
            </w:pPr>
            <w:r>
              <w:rPr/>
              <w:t>9,266</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w:t>
            </w:r>
          </w:p>
        </w:tc>
        <w:tc>
          <w:tcPr>
            <w:tcW w:w="776" w:type="dxa"/>
            <w:tcBorders/>
            <w:shd w:fill="FFFFFF" w:val="clear"/>
            <w:vAlign w:val="center"/>
          </w:tcPr>
          <w:p>
            <w:pPr>
              <w:pStyle w:val="TableContents"/>
              <w:bidi w:val="0"/>
              <w:spacing w:before="0" w:after="283"/>
              <w:jc w:val="right"/>
              <w:rPr/>
            </w:pPr>
            <w:r>
              <w:rPr/>
              <w:t>10,218</w:t>
            </w:r>
          </w:p>
        </w:tc>
        <w:tc>
          <w:tcPr>
            <w:tcW w:w="110" w:type="dxa"/>
            <w:tcBorders/>
            <w:shd w:fill="FFFFFF" w:val="clear"/>
            <w:vAlign w:val="center"/>
          </w:tcPr>
          <w:p>
            <w:pPr>
              <w:pStyle w:val="TableContents"/>
              <w:bidi w:val="0"/>
              <w:spacing w:before="0" w:after="283"/>
              <w:jc w:val="left"/>
              <w:rPr/>
            </w:pPr>
            <w:r>
              <w:rPr/>
              <w:t> </w:t>
            </w:r>
            <w:bookmarkStart w:id="551" w:name="xdx_40E_eus-gaap--DeferredTaxAssetsTaxCr"/>
            <w:bookmarkEnd w:id="551"/>
          </w:p>
        </w:tc>
      </w:tr>
      <w:tr>
        <w:trPr/>
        <w:tc>
          <w:tcPr>
            <w:tcW w:w="5330" w:type="dxa"/>
            <w:tcBorders/>
            <w:shd w:fill="CCEEFF" w:val="clear"/>
            <w:vAlign w:val="center"/>
          </w:tcPr>
          <w:p>
            <w:pPr>
              <w:pStyle w:val="TableContents"/>
              <w:bidi w:val="0"/>
              <w:spacing w:before="0" w:after="283"/>
              <w:jc w:val="left"/>
              <w:rPr/>
            </w:pPr>
            <w:r>
              <w:rPr/>
              <w:t>  </w:t>
            </w:r>
            <w:r>
              <w:rPr/>
              <w:t>163(j) Business interest limitation carryforwards</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776" w:type="dxa"/>
            <w:tcBorders/>
            <w:shd w:fill="CCEEFF" w:val="clear"/>
            <w:vAlign w:val="center"/>
          </w:tcPr>
          <w:p>
            <w:pPr>
              <w:pStyle w:val="TableContents"/>
              <w:bidi w:val="0"/>
              <w:spacing w:before="0" w:after="283"/>
              <w:jc w:val="right"/>
              <w:rPr/>
            </w:pPr>
            <w:r>
              <w:rPr/>
              <w:t>114</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776"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552" w:name="xdx_400_eus-gaap--DeferredTaxAssetsInven"/>
            <w:bookmarkEnd w:id="552"/>
          </w:p>
        </w:tc>
      </w:tr>
      <w:tr>
        <w:trPr/>
        <w:tc>
          <w:tcPr>
            <w:tcW w:w="5330" w:type="dxa"/>
            <w:tcBorders/>
            <w:shd w:fill="FFFFFF" w:val="clear"/>
            <w:vAlign w:val="center"/>
          </w:tcPr>
          <w:p>
            <w:pPr>
              <w:pStyle w:val="TableContents"/>
              <w:bidi w:val="0"/>
              <w:spacing w:before="0" w:after="283"/>
              <w:jc w:val="left"/>
              <w:rPr/>
            </w:pPr>
            <w:r>
              <w:rPr/>
              <w:t>  </w:t>
            </w:r>
            <w:r>
              <w:rPr/>
              <w:t>Inventory and other allowances</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776" w:type="dxa"/>
            <w:tcBorders/>
            <w:shd w:fill="FFFFFF" w:val="clear"/>
            <w:vAlign w:val="center"/>
          </w:tcPr>
          <w:p>
            <w:pPr>
              <w:pStyle w:val="TableContents"/>
              <w:bidi w:val="0"/>
              <w:spacing w:before="0" w:after="283"/>
              <w:jc w:val="right"/>
              <w:rPr/>
            </w:pPr>
            <w:r>
              <w:rPr/>
              <w:t>29</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776" w:type="dxa"/>
            <w:tcBorders/>
            <w:shd w:fill="FFFFFF" w:val="clear"/>
            <w:vAlign w:val="center"/>
          </w:tcPr>
          <w:p>
            <w:pPr>
              <w:pStyle w:val="TableContents"/>
              <w:bidi w:val="0"/>
              <w:spacing w:before="0" w:after="283"/>
              <w:jc w:val="right"/>
              <w:rPr/>
            </w:pPr>
            <w:r>
              <w:rPr/>
              <w:t>764</w:t>
            </w:r>
          </w:p>
        </w:tc>
        <w:tc>
          <w:tcPr>
            <w:tcW w:w="110" w:type="dxa"/>
            <w:tcBorders/>
            <w:shd w:fill="FFFFFF" w:val="clear"/>
            <w:vAlign w:val="center"/>
          </w:tcPr>
          <w:p>
            <w:pPr>
              <w:pStyle w:val="TableContents"/>
              <w:bidi w:val="0"/>
              <w:spacing w:before="0" w:after="283"/>
              <w:jc w:val="left"/>
              <w:rPr/>
            </w:pPr>
            <w:r>
              <w:rPr/>
              <w:t> </w:t>
            </w:r>
            <w:bookmarkStart w:id="553" w:name="xdx_400_eus-gaap--DeferredTaxAssetsGoodw"/>
            <w:bookmarkEnd w:id="553"/>
          </w:p>
        </w:tc>
      </w:tr>
      <w:tr>
        <w:trPr/>
        <w:tc>
          <w:tcPr>
            <w:tcW w:w="5330" w:type="dxa"/>
            <w:tcBorders/>
            <w:shd w:fill="CCEEFF" w:val="clear"/>
            <w:vAlign w:val="center"/>
          </w:tcPr>
          <w:p>
            <w:pPr>
              <w:pStyle w:val="TableContents"/>
              <w:bidi w:val="0"/>
              <w:spacing w:before="0" w:after="283"/>
              <w:jc w:val="left"/>
              <w:rPr/>
            </w:pPr>
            <w:r>
              <w:rPr/>
              <w:t>  </w:t>
            </w:r>
            <w:r>
              <w:rPr/>
              <w:t>Excess book amortization</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776" w:type="dxa"/>
            <w:tcBorders/>
            <w:shd w:fill="CCEEFF" w:val="clear"/>
            <w:vAlign w:val="center"/>
          </w:tcPr>
          <w:p>
            <w:pPr>
              <w:pStyle w:val="TableContents"/>
              <w:bidi w:val="0"/>
              <w:spacing w:before="0" w:after="283"/>
              <w:jc w:val="right"/>
              <w:rPr/>
            </w:pPr>
            <w:r>
              <w:rPr/>
              <w:t></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776" w:type="dxa"/>
            <w:tcBorders/>
            <w:shd w:fill="CCEEFF" w:val="clear"/>
            <w:vAlign w:val="center"/>
          </w:tcPr>
          <w:p>
            <w:pPr>
              <w:pStyle w:val="TableContents"/>
              <w:bidi w:val="0"/>
              <w:spacing w:before="0" w:after="283"/>
              <w:jc w:val="right"/>
              <w:rPr/>
            </w:pPr>
            <w:r>
              <w:rPr/>
              <w:t>60</w:t>
            </w:r>
          </w:p>
        </w:tc>
        <w:tc>
          <w:tcPr>
            <w:tcW w:w="110" w:type="dxa"/>
            <w:tcBorders/>
            <w:shd w:fill="CCEEFF" w:val="clear"/>
            <w:vAlign w:val="center"/>
          </w:tcPr>
          <w:p>
            <w:pPr>
              <w:pStyle w:val="TableContents"/>
              <w:bidi w:val="0"/>
              <w:spacing w:before="0" w:after="283"/>
              <w:jc w:val="left"/>
              <w:rPr/>
            </w:pPr>
            <w:r>
              <w:rPr/>
              <w:t> </w:t>
            </w:r>
            <w:bookmarkStart w:id="554" w:name="xdx_407_eus-gaap--DeferredTaxAssetsTaxCr"/>
            <w:bookmarkEnd w:id="554"/>
          </w:p>
        </w:tc>
      </w:tr>
      <w:tr>
        <w:trPr/>
        <w:tc>
          <w:tcPr>
            <w:tcW w:w="5330" w:type="dxa"/>
            <w:tcBorders/>
            <w:shd w:fill="FFFFFF" w:val="clear"/>
            <w:vAlign w:val="center"/>
          </w:tcPr>
          <w:p>
            <w:pPr>
              <w:pStyle w:val="TableContents"/>
              <w:bidi w:val="0"/>
              <w:spacing w:before="0" w:after="283"/>
              <w:jc w:val="left"/>
              <w:rPr/>
            </w:pPr>
            <w:r>
              <w:rPr/>
              <w:t>  </w:t>
            </w:r>
            <w:r>
              <w:rPr/>
              <w:t>174 research and experimental expenditures</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776" w:type="dxa"/>
            <w:tcBorders/>
            <w:shd w:fill="FFFFFF" w:val="clear"/>
            <w:vAlign w:val="center"/>
          </w:tcPr>
          <w:p>
            <w:pPr>
              <w:pStyle w:val="TableContents"/>
              <w:bidi w:val="0"/>
              <w:spacing w:before="0" w:after="283"/>
              <w:jc w:val="right"/>
              <w:rPr/>
            </w:pPr>
            <w:r>
              <w:rPr/>
              <w:t>682</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776" w:type="dxa"/>
            <w:tcBorders/>
            <w:shd w:fill="FFFFFF" w:val="clear"/>
            <w:vAlign w:val="center"/>
          </w:tcPr>
          <w:p>
            <w:pPr>
              <w:pStyle w:val="TableContents"/>
              <w:bidi w:val="0"/>
              <w:spacing w:before="0" w:after="283"/>
              <w:jc w:val="right"/>
              <w:rPr/>
            </w:pPr>
            <w:r>
              <w:rPr/>
              <w:t>1,053</w:t>
            </w:r>
          </w:p>
        </w:tc>
        <w:tc>
          <w:tcPr>
            <w:tcW w:w="110" w:type="dxa"/>
            <w:tcBorders/>
            <w:shd w:fill="FFFFFF" w:val="clear"/>
            <w:vAlign w:val="center"/>
          </w:tcPr>
          <w:p>
            <w:pPr>
              <w:pStyle w:val="TableContents"/>
              <w:bidi w:val="0"/>
              <w:spacing w:before="0" w:after="283"/>
              <w:jc w:val="left"/>
              <w:rPr/>
            </w:pPr>
            <w:r>
              <w:rPr/>
              <w:t> </w:t>
            </w:r>
            <w:bookmarkStart w:id="555" w:name="xdx_40B_eus-gaap--DeferredTaxAssetsTaxDe"/>
            <w:bookmarkEnd w:id="555"/>
          </w:p>
        </w:tc>
      </w:tr>
      <w:tr>
        <w:trPr/>
        <w:tc>
          <w:tcPr>
            <w:tcW w:w="5330" w:type="dxa"/>
            <w:tcBorders/>
            <w:shd w:fill="CCEEFF" w:val="clear"/>
            <w:vAlign w:val="center"/>
          </w:tcPr>
          <w:p>
            <w:pPr>
              <w:pStyle w:val="TableContents"/>
              <w:bidi w:val="0"/>
              <w:spacing w:before="0" w:after="283"/>
              <w:jc w:val="left"/>
              <w:rPr/>
            </w:pPr>
            <w:r>
              <w:rPr/>
              <w:t>  </w:t>
            </w:r>
            <w:r>
              <w:rPr/>
              <w:t>Share-based compensation</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776" w:type="dxa"/>
            <w:tcBorders/>
            <w:shd w:fill="CCEEFF" w:val="clear"/>
            <w:vAlign w:val="center"/>
          </w:tcPr>
          <w:p>
            <w:pPr>
              <w:pStyle w:val="TableContents"/>
              <w:bidi w:val="0"/>
              <w:spacing w:before="0" w:after="283"/>
              <w:jc w:val="right"/>
              <w:rPr/>
            </w:pPr>
            <w:r>
              <w:rPr/>
              <w:t>688</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776" w:type="dxa"/>
            <w:tcBorders/>
            <w:shd w:fill="CCEEFF" w:val="clear"/>
            <w:vAlign w:val="center"/>
          </w:tcPr>
          <w:p>
            <w:pPr>
              <w:pStyle w:val="TableContents"/>
              <w:bidi w:val="0"/>
              <w:spacing w:before="0" w:after="283"/>
              <w:jc w:val="right"/>
              <w:rPr/>
            </w:pPr>
            <w:r>
              <w:rPr/>
              <w:t>788</w:t>
            </w:r>
          </w:p>
        </w:tc>
        <w:tc>
          <w:tcPr>
            <w:tcW w:w="110" w:type="dxa"/>
            <w:tcBorders/>
            <w:shd w:fill="CCEEFF" w:val="clear"/>
            <w:vAlign w:val="center"/>
          </w:tcPr>
          <w:p>
            <w:pPr>
              <w:pStyle w:val="TableContents"/>
              <w:bidi w:val="0"/>
              <w:spacing w:before="0" w:after="283"/>
              <w:jc w:val="left"/>
              <w:rPr/>
            </w:pPr>
            <w:r>
              <w:rPr/>
              <w:t> </w:t>
            </w:r>
            <w:bookmarkStart w:id="556" w:name="xdx_406_eus-gaap--DeferredTaxAssetsTaxCr"/>
            <w:bookmarkEnd w:id="556"/>
          </w:p>
        </w:tc>
      </w:tr>
      <w:tr>
        <w:trPr/>
        <w:tc>
          <w:tcPr>
            <w:tcW w:w="5330" w:type="dxa"/>
            <w:tcBorders/>
            <w:shd w:fill="FFFFFF" w:val="clear"/>
            <w:vAlign w:val="center"/>
          </w:tcPr>
          <w:p>
            <w:pPr>
              <w:pStyle w:val="TableContents"/>
              <w:bidi w:val="0"/>
              <w:spacing w:before="0" w:after="283"/>
              <w:jc w:val="left"/>
              <w:rPr/>
            </w:pPr>
            <w:r>
              <w:rPr/>
              <w:t>  </w:t>
            </w:r>
            <w:r>
              <w:rPr/>
              <w:t>Tax credits</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776" w:type="dxa"/>
            <w:tcBorders/>
            <w:shd w:fill="FFFFFF" w:val="clear"/>
            <w:vAlign w:val="center"/>
          </w:tcPr>
          <w:p>
            <w:pPr>
              <w:pStyle w:val="TableContents"/>
              <w:bidi w:val="0"/>
              <w:spacing w:before="0" w:after="283"/>
              <w:jc w:val="right"/>
              <w:rPr/>
            </w:pPr>
            <w:r>
              <w:rPr/>
              <w:t>509</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776" w:type="dxa"/>
            <w:tcBorders/>
            <w:shd w:fill="FFFFFF" w:val="clear"/>
            <w:vAlign w:val="center"/>
          </w:tcPr>
          <w:p>
            <w:pPr>
              <w:pStyle w:val="TableContents"/>
              <w:bidi w:val="0"/>
              <w:spacing w:before="0" w:after="283"/>
              <w:jc w:val="right"/>
              <w:rPr/>
            </w:pPr>
            <w:r>
              <w:rPr/>
              <w:t>189</w:t>
            </w:r>
          </w:p>
        </w:tc>
        <w:tc>
          <w:tcPr>
            <w:tcW w:w="110" w:type="dxa"/>
            <w:tcBorders/>
            <w:shd w:fill="FFFFFF" w:val="clear"/>
            <w:vAlign w:val="center"/>
          </w:tcPr>
          <w:p>
            <w:pPr>
              <w:pStyle w:val="TableContents"/>
              <w:bidi w:val="0"/>
              <w:spacing w:before="0" w:after="283"/>
              <w:jc w:val="left"/>
              <w:rPr/>
            </w:pPr>
            <w:r>
              <w:rPr/>
              <w:t> </w:t>
            </w:r>
            <w:bookmarkStart w:id="557" w:name="xdx_407_ecustom--DeferredTaxAssetsOperat"/>
            <w:bookmarkEnd w:id="557"/>
          </w:p>
        </w:tc>
      </w:tr>
      <w:tr>
        <w:trPr/>
        <w:tc>
          <w:tcPr>
            <w:tcW w:w="5330" w:type="dxa"/>
            <w:tcBorders/>
            <w:shd w:fill="CCEEFF" w:val="clear"/>
            <w:vAlign w:val="center"/>
          </w:tcPr>
          <w:p>
            <w:pPr>
              <w:pStyle w:val="TableContents"/>
              <w:bidi w:val="0"/>
              <w:spacing w:before="0" w:after="283"/>
              <w:jc w:val="left"/>
              <w:rPr/>
            </w:pPr>
            <w:r>
              <w:rPr/>
              <w:t>  </w:t>
            </w:r>
            <w:r>
              <w:rPr/>
              <w:t>ASC 842 Operating Lease Liability</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776" w:type="dxa"/>
            <w:tcBorders/>
            <w:shd w:fill="CCEEFF" w:val="clear"/>
            <w:vAlign w:val="center"/>
          </w:tcPr>
          <w:p>
            <w:pPr>
              <w:pStyle w:val="TableContents"/>
              <w:bidi w:val="0"/>
              <w:spacing w:before="0" w:after="283"/>
              <w:jc w:val="right"/>
              <w:rPr/>
            </w:pPr>
            <w:r>
              <w:rPr/>
              <w:t>2,355</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776" w:type="dxa"/>
            <w:tcBorders/>
            <w:shd w:fill="CCEEFF" w:val="clear"/>
            <w:vAlign w:val="center"/>
          </w:tcPr>
          <w:p>
            <w:pPr>
              <w:pStyle w:val="TableContents"/>
              <w:bidi w:val="0"/>
              <w:spacing w:before="0" w:after="283"/>
              <w:jc w:val="right"/>
              <w:rPr/>
            </w:pPr>
            <w:r>
              <w:rPr/>
              <w:t>2,520</w:t>
            </w:r>
          </w:p>
        </w:tc>
        <w:tc>
          <w:tcPr>
            <w:tcW w:w="110" w:type="dxa"/>
            <w:tcBorders/>
            <w:shd w:fill="CCEEFF" w:val="clear"/>
            <w:vAlign w:val="center"/>
          </w:tcPr>
          <w:p>
            <w:pPr>
              <w:pStyle w:val="TableContents"/>
              <w:bidi w:val="0"/>
              <w:spacing w:before="0" w:after="283"/>
              <w:jc w:val="left"/>
              <w:rPr/>
            </w:pPr>
            <w:r>
              <w:rPr/>
              <w:t> </w:t>
            </w:r>
            <w:bookmarkStart w:id="558" w:name="xdx_40A_eus-gaap--DeferredTaxAssetsTaxDe"/>
            <w:bookmarkEnd w:id="558"/>
          </w:p>
        </w:tc>
      </w:tr>
      <w:tr>
        <w:trPr/>
        <w:tc>
          <w:tcPr>
            <w:tcW w:w="5330" w:type="dxa"/>
            <w:tcBorders/>
            <w:shd w:fill="FFFFFF" w:val="clear"/>
            <w:vAlign w:val="center"/>
          </w:tcPr>
          <w:p>
            <w:pPr>
              <w:pStyle w:val="TableContents"/>
              <w:bidi w:val="0"/>
              <w:spacing w:before="0" w:after="283"/>
              <w:jc w:val="left"/>
              <w:rPr/>
            </w:pPr>
            <w:r>
              <w:rPr/>
              <w:t>  </w:t>
            </w:r>
            <w:r>
              <w:rPr/>
              <w:t>Other accrued costs</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76" w:type="dxa"/>
            <w:tcBorders>
              <w:bottom w:val="single" w:sz="8" w:space="0" w:color="000000"/>
            </w:tcBorders>
            <w:shd w:fill="FFFFFF" w:val="clear"/>
            <w:tcMar>
              <w:bottom w:w="28" w:type="dxa"/>
            </w:tcMar>
            <w:vAlign w:val="center"/>
          </w:tcPr>
          <w:p>
            <w:pPr>
              <w:pStyle w:val="TableContents"/>
              <w:bidi w:val="0"/>
              <w:spacing w:before="0" w:after="283"/>
              <w:jc w:val="right"/>
              <w:rPr/>
            </w:pPr>
            <w:r>
              <w:rPr/>
              <w:t>1,142</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76" w:type="dxa"/>
            <w:tcBorders>
              <w:bottom w:val="single" w:sz="8" w:space="0" w:color="000000"/>
            </w:tcBorders>
            <w:shd w:fill="FFFFFF" w:val="clear"/>
            <w:tcMar>
              <w:bottom w:w="28" w:type="dxa"/>
            </w:tcMar>
            <w:vAlign w:val="center"/>
          </w:tcPr>
          <w:p>
            <w:pPr>
              <w:pStyle w:val="TableContents"/>
              <w:bidi w:val="0"/>
              <w:spacing w:before="0" w:after="283"/>
              <w:jc w:val="right"/>
              <w:rPr/>
            </w:pPr>
            <w:r>
              <w:rPr/>
              <w:t>292</w:t>
            </w:r>
          </w:p>
        </w:tc>
        <w:tc>
          <w:tcPr>
            <w:tcW w:w="110" w:type="dxa"/>
            <w:tcBorders/>
            <w:shd w:fill="FFFFFF" w:val="clear"/>
            <w:vAlign w:val="center"/>
          </w:tcPr>
          <w:p>
            <w:pPr>
              <w:pStyle w:val="TableContents"/>
              <w:bidi w:val="0"/>
              <w:spacing w:before="0" w:after="283"/>
              <w:jc w:val="left"/>
              <w:rPr/>
            </w:pPr>
            <w:r>
              <w:rPr/>
              <w:t> </w:t>
            </w:r>
            <w:bookmarkStart w:id="559" w:name="xdx_401_eus-gaap--DeferredTaxAssetsGross"/>
            <w:bookmarkEnd w:id="559"/>
          </w:p>
        </w:tc>
      </w:tr>
      <w:tr>
        <w:trPr/>
        <w:tc>
          <w:tcPr>
            <w:tcW w:w="5330" w:type="dxa"/>
            <w:tcBorders/>
            <w:shd w:fill="CCEEFF" w:val="clear"/>
            <w:vAlign w:val="center"/>
          </w:tcPr>
          <w:p>
            <w:pPr>
              <w:pStyle w:val="TableContents"/>
              <w:bidi w:val="0"/>
              <w:spacing w:before="0" w:after="283"/>
              <w:jc w:val="left"/>
              <w:rPr/>
            </w:pPr>
            <w:r>
              <w:rPr/>
              <w:t>     </w:t>
            </w:r>
            <w:r>
              <w:rPr/>
              <w:t>Total approximate tax effect of deferred tax assets</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776" w:type="dxa"/>
            <w:tcBorders/>
            <w:shd w:fill="CCEEFF" w:val="clear"/>
            <w:vAlign w:val="center"/>
          </w:tcPr>
          <w:p>
            <w:pPr>
              <w:pStyle w:val="TableContents"/>
              <w:bidi w:val="0"/>
              <w:spacing w:before="0" w:after="283"/>
              <w:jc w:val="right"/>
              <w:rPr/>
            </w:pPr>
            <w:r>
              <w:rPr/>
              <w:t>14,785</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776" w:type="dxa"/>
            <w:tcBorders/>
            <w:shd w:fill="CCEEFF" w:val="clear"/>
            <w:vAlign w:val="center"/>
          </w:tcPr>
          <w:p>
            <w:pPr>
              <w:pStyle w:val="TableContents"/>
              <w:bidi w:val="0"/>
              <w:spacing w:before="0" w:after="283"/>
              <w:jc w:val="right"/>
              <w:rPr/>
            </w:pPr>
            <w:r>
              <w:rPr/>
              <w:t>15,884</w:t>
            </w:r>
          </w:p>
        </w:tc>
        <w:tc>
          <w:tcPr>
            <w:tcW w:w="110" w:type="dxa"/>
            <w:tcBorders/>
            <w:shd w:fill="CCEEFF" w:val="clear"/>
            <w:vAlign w:val="center"/>
          </w:tcPr>
          <w:p>
            <w:pPr>
              <w:pStyle w:val="TableContents"/>
              <w:bidi w:val="0"/>
              <w:spacing w:before="0" w:after="283"/>
              <w:jc w:val="left"/>
              <w:rPr/>
            </w:pPr>
            <w:r>
              <w:rPr/>
              <w:t> </w:t>
            </w:r>
          </w:p>
        </w:tc>
      </w:tr>
      <w:tr>
        <w:trPr/>
        <w:tc>
          <w:tcPr>
            <w:tcW w:w="53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776"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776"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560" w:name="xdx_40E_eus-gaap--DeferredTaxAssetsValua"/>
            <w:bookmarkEnd w:id="560"/>
          </w:p>
        </w:tc>
      </w:tr>
      <w:tr>
        <w:trPr/>
        <w:tc>
          <w:tcPr>
            <w:tcW w:w="5330" w:type="dxa"/>
            <w:tcBorders/>
            <w:shd w:fill="CCEEFF" w:val="clear"/>
            <w:vAlign w:val="center"/>
          </w:tcPr>
          <w:p>
            <w:pPr>
              <w:pStyle w:val="TableContents"/>
              <w:bidi w:val="0"/>
              <w:spacing w:before="0" w:after="283"/>
              <w:jc w:val="left"/>
              <w:rPr/>
            </w:pPr>
            <w:r>
              <w:rPr/>
              <w:t>  </w:t>
            </w:r>
            <w:r>
              <w:rPr/>
              <w:t>Less: valuation allowance</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76" w:type="dxa"/>
            <w:tcBorders>
              <w:bottom w:val="single" w:sz="8" w:space="0" w:color="000000"/>
            </w:tcBorders>
            <w:shd w:fill="CCEEFF" w:val="clear"/>
            <w:tcMar>
              <w:bottom w:w="28" w:type="dxa"/>
            </w:tcMar>
            <w:vAlign w:val="center"/>
          </w:tcPr>
          <w:p>
            <w:pPr>
              <w:pStyle w:val="TableContents"/>
              <w:bidi w:val="0"/>
              <w:spacing w:before="0" w:after="283"/>
              <w:jc w:val="right"/>
              <w:rPr/>
            </w:pPr>
            <w:r>
              <w:rPr/>
              <w:t>(12,567</w:t>
            </w:r>
          </w:p>
        </w:tc>
        <w:tc>
          <w:tcPr>
            <w:tcW w:w="97" w:type="dxa"/>
            <w:tcBorders/>
            <w:shd w:fill="CCEEFF" w:val="clear"/>
            <w:vAlign w:val="center"/>
          </w:tcPr>
          <w:p>
            <w:pPr>
              <w:pStyle w:val="TableContents"/>
              <w:bidi w:val="0"/>
              <w:spacing w:before="0" w:after="283"/>
              <w:jc w:val="left"/>
              <w:rPr/>
            </w:pPr>
            <w:r>
              <w:rPr/>
              <w:t>)</w:t>
            </w:r>
          </w:p>
        </w:tc>
        <w:tc>
          <w:tcPr>
            <w:tcW w:w="61" w:type="dxa"/>
            <w:tcBorders/>
            <w:shd w:fill="CCEEFF" w:val="clear"/>
            <w:vAlign w:val="center"/>
          </w:tcPr>
          <w:p>
            <w:pPr>
              <w:pStyle w:val="TableContents"/>
              <w:bidi w:val="0"/>
              <w:spacing w:before="0" w:after="283"/>
              <w:jc w:val="left"/>
              <w:rPr/>
            </w:pPr>
            <w:r>
              <w:rPr/>
              <w:t> </w:t>
            </w:r>
          </w:p>
        </w:tc>
        <w:tc>
          <w:tcPr>
            <w:tcW w:w="14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76" w:type="dxa"/>
            <w:tcBorders>
              <w:bottom w:val="single" w:sz="8" w:space="0" w:color="000000"/>
            </w:tcBorders>
            <w:shd w:fill="CCEEFF" w:val="clear"/>
            <w:tcMar>
              <w:bottom w:w="28" w:type="dxa"/>
            </w:tcMar>
            <w:vAlign w:val="center"/>
          </w:tcPr>
          <w:p>
            <w:pPr>
              <w:pStyle w:val="TableContents"/>
              <w:bidi w:val="0"/>
              <w:spacing w:before="0" w:after="283"/>
              <w:jc w:val="right"/>
              <w:rPr/>
            </w:pPr>
            <w:r>
              <w:rPr/>
              <w:t>(13,450</w:t>
            </w:r>
          </w:p>
        </w:tc>
        <w:tc>
          <w:tcPr>
            <w:tcW w:w="110" w:type="dxa"/>
            <w:tcBorders/>
            <w:shd w:fill="CCEEFF" w:val="clear"/>
            <w:vAlign w:val="center"/>
          </w:tcPr>
          <w:p>
            <w:pPr>
              <w:pStyle w:val="TableContents"/>
              <w:bidi w:val="0"/>
              <w:spacing w:before="0" w:after="283"/>
              <w:jc w:val="left"/>
              <w:rPr/>
            </w:pPr>
            <w:r>
              <w:rPr/>
              <w:t>)</w:t>
            </w:r>
            <w:bookmarkStart w:id="561" w:name="xdx_40A_eus-gaap--DeferredTaxAssetsLiabi"/>
            <w:bookmarkEnd w:id="561"/>
          </w:p>
        </w:tc>
      </w:tr>
      <w:tr>
        <w:trPr/>
        <w:tc>
          <w:tcPr>
            <w:tcW w:w="5330" w:type="dxa"/>
            <w:tcBorders/>
            <w:shd w:fill="FFFFFF" w:val="clear"/>
            <w:vAlign w:val="center"/>
          </w:tcPr>
          <w:p>
            <w:pPr>
              <w:pStyle w:val="TableContents"/>
              <w:bidi w:val="0"/>
              <w:spacing w:before="0" w:after="283"/>
              <w:jc w:val="left"/>
              <w:rPr/>
            </w:pPr>
            <w:r>
              <w:rPr/>
              <w:t>Total approximate tax effect on temporary differences</w:t>
            </w:r>
          </w:p>
        </w:tc>
        <w:tc>
          <w:tcPr>
            <w:tcW w:w="60" w:type="dxa"/>
            <w:tcBorders/>
            <w:shd w:fill="FFFFFF" w:val="clear"/>
            <w:vAlign w:val="center"/>
          </w:tcPr>
          <w:p>
            <w:pPr>
              <w:pStyle w:val="TableContents"/>
              <w:bidi w:val="0"/>
              <w:spacing w:before="0" w:after="283"/>
              <w:jc w:val="left"/>
              <w:rPr/>
            </w:pPr>
            <w:r>
              <w:rPr/>
              <w:t> </w:t>
            </w:r>
          </w:p>
        </w:tc>
        <w:tc>
          <w:tcPr>
            <w:tcW w:w="14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76"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76"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490"/>
        <w:jc w:val="both"/>
        <w:rPr>
          <w:caps w:val="false"/>
          <w:smallCaps w:val="false"/>
        </w:rPr>
      </w:pPr>
      <w:bookmarkStart w:id="562" w:name="xdx_8A9_zWq6J22H3kH9"/>
      <w:bookmarkEnd w:id="562"/>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valuation allowance decreased approximately $</w:t>
      </w:r>
      <w:bookmarkStart w:id="563" w:name="xdx_904_eus-gaap--ValuationAllowanceDefe"/>
      <w:bookmarkEnd w:id="563"/>
      <w:r>
        <w:rPr>
          <w:rFonts w:ascii="Times New Roman;Times;Serif" w:hAnsi="Times New Roman;Times;Serif"/>
          <w:b w:val="false"/>
          <w:i w:val="false"/>
          <w:caps w:val="false"/>
          <w:smallCaps w:val="false"/>
          <w:sz w:val="20"/>
        </w:rPr>
        <w:t>1.0 million and $</w:t>
      </w:r>
      <w:bookmarkStart w:id="564" w:name="xdx_900_eus-gaap--ValuationAllowanceDefe"/>
      <w:bookmarkEnd w:id="564"/>
      <w:r>
        <w:rPr>
          <w:rFonts w:ascii="Times New Roman;Times;Serif" w:hAnsi="Times New Roman;Times;Serif"/>
          <w:b w:val="false"/>
          <w:i w:val="false"/>
          <w:caps w:val="false"/>
          <w:smallCaps w:val="false"/>
          <w:sz w:val="20"/>
        </w:rPr>
        <w:t>1.1 million for the years ended December 31, 2025 and 2024, respectively (net of approximately $</w:t>
      </w:r>
      <w:bookmarkStart w:id="565" w:name="xdx_905_eus-gaap--TaxCreditCarryforwardV"/>
      <w:bookmarkEnd w:id="565"/>
      <w:r>
        <w:rPr>
          <w:rFonts w:ascii="Times New Roman;Times;Serif" w:hAnsi="Times New Roman;Times;Serif"/>
          <w:b w:val="false"/>
          <w:i w:val="false"/>
          <w:caps w:val="false"/>
          <w:smallCaps w:val="false"/>
          <w:sz w:val="20"/>
        </w:rPr>
        <w:t>5.4 million and $</w:t>
      </w:r>
      <w:bookmarkStart w:id="566" w:name="xdx_901_eus-gaap--TaxCreditCarryforwardV"/>
      <w:bookmarkEnd w:id="566"/>
      <w:r>
        <w:rPr>
          <w:rFonts w:ascii="Times New Roman;Times;Serif" w:hAnsi="Times New Roman;Times;Serif"/>
          <w:b w:val="false"/>
          <w:i w:val="false"/>
          <w:caps w:val="false"/>
          <w:smallCaps w:val="false"/>
          <w:sz w:val="20"/>
        </w:rPr>
        <w:t>8.1 million for the years ended December 31, 2025 and 2024, respectively, for expiring net operating loss carryforwards and credits) due principally to the change in the net operating loss carryforward and uncertainty as to whether future taxable income will be generated prior to the expiration of the carryforward period. Under the Internal Revenue Code, certain ownership changes, including the prior issuance of preferred stock and our public offering of common stock, may subject us to annual limitations on the utilization of our net operating loss carryforward. As of December 31, 2025, it has been determined that we are not subject to annual limitations on the utilization of our net operating loss carryforward.</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federal net operating loss carryforwards for tax purposes of approximately $</w:t>
      </w:r>
      <w:bookmarkStart w:id="567" w:name="xdx_907_eus-gaap--OperatingLossCarryforw"/>
      <w:bookmarkEnd w:id="567"/>
      <w:r>
        <w:rPr>
          <w:rFonts w:ascii="Times New Roman;Times;Serif" w:hAnsi="Times New Roman;Times;Serif"/>
          <w:b w:val="false"/>
          <w:i w:val="false"/>
          <w:caps w:val="false"/>
          <w:smallCaps w:val="false"/>
          <w:sz w:val="20"/>
        </w:rPr>
        <w:t>36.9 million on December 31, 2025. $</w:t>
      </w:r>
      <w:bookmarkStart w:id="568" w:name="xdx_907_eus-gaap--OperatingLossCarryforw"/>
      <w:bookmarkEnd w:id="568"/>
      <w:r>
        <w:rPr>
          <w:rFonts w:ascii="Times New Roman;Times;Serif" w:hAnsi="Times New Roman;Times;Serif"/>
          <w:b w:val="false"/>
          <w:i w:val="false"/>
          <w:caps w:val="false"/>
          <w:smallCaps w:val="false"/>
          <w:sz w:val="20"/>
        </w:rPr>
        <w:t xml:space="preserve">30.7 million expire between </w:t>
      </w:r>
      <w:bookmarkStart w:id="569" w:name="xdx_907_ecustom--OperatingLossCarryforwa"/>
      <w:bookmarkEnd w:id="569"/>
      <w:r>
        <w:rPr>
          <w:rFonts w:ascii="Times New Roman;Times;Serif" w:hAnsi="Times New Roman;Times;Serif"/>
          <w:b w:val="false"/>
          <w:i w:val="false"/>
          <w:caps w:val="false"/>
          <w:smallCaps w:val="false"/>
          <w:sz w:val="20"/>
        </w:rPr>
        <w:t xml:space="preserve">2026 and </w:t>
      </w:r>
      <w:bookmarkStart w:id="570" w:name="xdx_900_ecustom--OperatingLossCarryforwa"/>
      <w:bookmarkEnd w:id="570"/>
      <w:r>
        <w:rPr>
          <w:rFonts w:ascii="Times New Roman;Times;Serif" w:hAnsi="Times New Roman;Times;Serif"/>
          <w:b w:val="false"/>
          <w:i w:val="false"/>
          <w:caps w:val="false"/>
          <w:smallCaps w:val="false"/>
          <w:sz w:val="20"/>
        </w:rPr>
        <w:t>2038. All net operating loss carryforwards generated after January 1, 2018 do not expire. Therefore, $</w:t>
      </w:r>
      <w:bookmarkStart w:id="571" w:name="xdx_904_eus-gaap--OperatingLossCarryforw"/>
      <w:bookmarkEnd w:id="571"/>
      <w:r>
        <w:rPr>
          <w:rFonts w:ascii="Times New Roman;Times;Serif" w:hAnsi="Times New Roman;Times;Serif"/>
          <w:b w:val="false"/>
          <w:i w:val="false"/>
          <w:caps w:val="false"/>
          <w:smallCaps w:val="false"/>
          <w:sz w:val="20"/>
        </w:rPr>
        <w:t>6.2 million in net operating losses generated since January 1, 2018 do not expire. We have Illinois net loss deduction carryforwards for tax purposes of approximately $</w:t>
      </w:r>
      <w:bookmarkStart w:id="572" w:name="xdx_900_eus-gaap--OperatingLossCarryforw"/>
      <w:bookmarkEnd w:id="572"/>
      <w:r>
        <w:rPr>
          <w:rFonts w:ascii="Times New Roman;Times;Serif" w:hAnsi="Times New Roman;Times;Serif"/>
          <w:b w:val="false"/>
          <w:i w:val="false"/>
          <w:caps w:val="false"/>
          <w:smallCaps w:val="false"/>
          <w:sz w:val="20"/>
        </w:rPr>
        <w:t xml:space="preserve">18.5 million on December 31, 2025. Due to the provisions of Illinois Public Act 102-0669 signed November 16, 2021, Illinois net loss deductions expire between </w:t>
      </w:r>
      <w:bookmarkStart w:id="573" w:name="xdx_900_ecustom--OperatingLossCarryforwa"/>
      <w:bookmarkEnd w:id="573"/>
      <w:r>
        <w:rPr>
          <w:rFonts w:ascii="Times New Roman;Times;Serif" w:hAnsi="Times New Roman;Times;Serif"/>
          <w:b w:val="false"/>
          <w:i w:val="false"/>
          <w:caps w:val="false"/>
          <w:smallCaps w:val="false"/>
          <w:sz w:val="20"/>
        </w:rPr>
        <w:t xml:space="preserve">2029 and </w:t>
      </w:r>
      <w:bookmarkStart w:id="574" w:name="xdx_905_ecustom--OperatingLossCarryforwa"/>
      <w:bookmarkEnd w:id="574"/>
      <w:r>
        <w:rPr>
          <w:rFonts w:ascii="Times New Roman;Times;Serif" w:hAnsi="Times New Roman;Times;Serif"/>
          <w:b w:val="false"/>
          <w:i w:val="false"/>
          <w:caps w:val="false"/>
          <w:smallCaps w:val="false"/>
          <w:sz w:val="20"/>
        </w:rPr>
        <w:t>2039.</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years that remain subject to examination by major tax jurisdictions are open for years subsequent to 2021. Years with NOLs remain subject to examination until 3 years after the NOL is used or until the NOL expires. </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75" w:name="xdx_803_eus-gaap--StockholdersEquityNote"/>
      <w:bookmarkEnd w:id="575"/>
      <w:r>
        <w:rPr>
          <w:rFonts w:ascii="Times New Roman;Times;Serif" w:hAnsi="Times New Roman;Times;Serif"/>
          <w:b/>
          <w:i w:val="false"/>
          <w:caps w:val="false"/>
          <w:smallCaps w:val="false"/>
          <w:sz w:val="20"/>
        </w:rPr>
        <w:t xml:space="preserve">(9) </w:t>
      </w:r>
      <w:bookmarkStart w:id="576" w:name="xdx_829_zoY7nA4Xcd3f"/>
      <w:bookmarkEnd w:id="576"/>
      <w:r>
        <w:rPr>
          <w:rFonts w:ascii="Times New Roman;Times;Serif" w:hAnsi="Times New Roman;Times;Serif"/>
          <w:b/>
          <w:i w:val="false"/>
          <w:caps w:val="false"/>
          <w:smallCaps w:val="false"/>
          <w:sz w:val="20"/>
        </w:rPr>
        <w:t>Capital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December 31, 2024, and 2025, respectively, the Company had </w:t>
      </w:r>
      <w:bookmarkStart w:id="577" w:name="xdx_904_eus-gaap--PreferredStockSharesAu"/>
      <w:bookmarkStart w:id="578" w:name="xdx_90A_eus-gaap--PreferredStockSharesAu"/>
      <w:bookmarkEnd w:id="577"/>
      <w:bookmarkEnd w:id="578"/>
      <w:r>
        <w:rPr>
          <w:rFonts w:ascii="Times New Roman;Times;Serif" w:hAnsi="Times New Roman;Times;Serif"/>
          <w:b w:val="false"/>
          <w:i w:val="false"/>
          <w:caps w:val="false"/>
          <w:smallCaps w:val="false"/>
          <w:sz w:val="20"/>
        </w:rPr>
        <w:t>24,088 authorized but unissued shares of preferred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Pursuant to the Securities Purchase Agreement executed on March 1, 2024, the Company issued to Strandler </w:t>
      </w:r>
      <w:bookmarkStart w:id="579" w:name="xdx_907_eus-gaap--StockIssuedDuringPerio"/>
      <w:bookmarkEnd w:id="579"/>
      <w:r>
        <w:rPr>
          <w:rFonts w:ascii="Times New Roman;Times;Serif" w:hAnsi="Times New Roman;Times;Serif"/>
          <w:b w:val="false"/>
          <w:i w:val="false"/>
          <w:caps w:val="false"/>
          <w:smallCaps w:val="false"/>
          <w:sz w:val="20"/>
        </w:rPr>
        <w:t>15,000 shares of the Company’s Series X Preferred Stock (the “Series X Preferred Stock”) at a purchase price per share of $</w:t>
      </w:r>
      <w:bookmarkStart w:id="580" w:name="xdx_909_eus-gaap--SharesIssuedPricePerSh"/>
      <w:bookmarkEnd w:id="580"/>
      <w:r>
        <w:rPr>
          <w:rFonts w:ascii="Times New Roman;Times;Serif" w:hAnsi="Times New Roman;Times;Serif"/>
          <w:b w:val="false"/>
          <w:i w:val="false"/>
          <w:caps w:val="false"/>
          <w:smallCaps w:val="false"/>
          <w:sz w:val="20"/>
        </w:rPr>
        <w:t>400, for total consideration of $</w:t>
      </w:r>
      <w:bookmarkStart w:id="581" w:name="xdx_90C_eus-gaap--ProceedsFromIssuanceOf"/>
      <w:bookmarkEnd w:id="581"/>
      <w:r>
        <w:rPr>
          <w:rFonts w:ascii="Times New Roman;Times;Serif" w:hAnsi="Times New Roman;Times;Serif"/>
          <w:b w:val="false"/>
          <w:i w:val="false"/>
          <w:caps w:val="false"/>
          <w:smallCaps w:val="false"/>
          <w:sz w:val="20"/>
        </w:rPr>
        <w:t xml:space="preserve">6,000,000, in a transaction exempt from registration under the Securities Act of 1933, as amended, pursuant to Section 4(a)(2) thereof. On June 20, 2024, Strandler converted its </w:t>
      </w:r>
      <w:bookmarkStart w:id="582" w:name="xdx_90E_eus-gaap--ConversionOfStockShare"/>
      <w:bookmarkEnd w:id="582"/>
      <w:r>
        <w:rPr>
          <w:rFonts w:ascii="Times New Roman;Times;Serif" w:hAnsi="Times New Roman;Times;Serif"/>
          <w:b w:val="false"/>
          <w:i w:val="false"/>
          <w:caps w:val="false"/>
          <w:smallCaps w:val="false"/>
          <w:sz w:val="20"/>
        </w:rPr>
        <w:t xml:space="preserve">15,000 shares of Series X Preferred Stock to </w:t>
      </w:r>
      <w:bookmarkStart w:id="583" w:name="xdx_90F_eus-gaap--ConversionOfStockShare"/>
      <w:bookmarkEnd w:id="583"/>
      <w:r>
        <w:rPr>
          <w:rFonts w:ascii="Times New Roman;Times;Serif" w:hAnsi="Times New Roman;Times;Serif"/>
          <w:b w:val="false"/>
          <w:i w:val="false"/>
          <w:caps w:val="false"/>
          <w:smallCaps w:val="false"/>
          <w:sz w:val="20"/>
        </w:rPr>
        <w:t>15,000,000 shares of Common Stock.</w:t>
      </w:r>
    </w:p>
    <w:p>
      <w:pPr>
        <w:pStyle w:val="TextBody"/>
        <w:bidi w:val="0"/>
        <w:spacing w:before="0" w:after="0"/>
        <w:ind w:left="0" w:right="0" w:firstLine="720"/>
        <w:jc w:val="both"/>
        <w:rPr>
          <w:caps w:val="false"/>
          <w:smallCaps w:val="false"/>
        </w:rPr>
      </w:pPr>
      <w:bookmarkStart w:id="584" w:name="xdx_81E_zw47FZ39wSic"/>
      <w:bookmarkEnd w:id="584"/>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85" w:name="xdx_809_eus-gaap--DisclosureOfCompensati"/>
      <w:bookmarkEnd w:id="585"/>
      <w:r>
        <w:rPr>
          <w:rFonts w:ascii="Times New Roman;Times;Serif" w:hAnsi="Times New Roman;Times;Serif"/>
          <w:b/>
          <w:i w:val="false"/>
          <w:caps w:val="false"/>
          <w:smallCaps w:val="false"/>
          <w:sz w:val="20"/>
        </w:rPr>
        <w:t xml:space="preserve">(10) </w:t>
      </w:r>
      <w:bookmarkStart w:id="586" w:name="xdx_823_z6lSXvi0oiUe"/>
      <w:bookmarkEnd w:id="586"/>
      <w:r>
        <w:rPr>
          <w:rFonts w:ascii="Times New Roman;Times;Serif" w:hAnsi="Times New Roman;Times;Serif"/>
          <w:b/>
          <w:i w:val="false"/>
          <w:caps w:val="false"/>
          <w:smallCaps w:val="false"/>
          <w:sz w:val="20"/>
        </w:rPr>
        <w:t>Stock Options and Stock Grants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entered into stock option agreements with certain officers, employees and directors. The stock options granted prior to the adoption of the 2019 Equity Compensation Plan (the “2019 Plan”) on November 19, 2019 generally expired </w:t>
      </w:r>
      <w:bookmarkStart w:id="587" w:name="xdx_906_eus-gaap--SharebasedCompensation"/>
      <w:bookmarkEnd w:id="587"/>
      <w:r>
        <w:rPr>
          <w:rFonts w:ascii="Times New Roman;Times;Serif" w:hAnsi="Times New Roman;Times;Serif"/>
          <w:b w:val="false"/>
          <w:i w:val="false"/>
          <w:caps w:val="false"/>
          <w:smallCaps w:val="false"/>
          <w:sz w:val="20"/>
        </w:rPr>
        <w:t xml:space="preserve">ten years from the date of grant. Future options to be granted under the 2025 Equity Compensation Plan (the “2025 Plan”) and 2019 Plan will expire </w:t>
      </w:r>
      <w:bookmarkStart w:id="588" w:name="xdx_904_eus-gaap--SharebasedCompensation"/>
      <w:bookmarkEnd w:id="588"/>
      <w:r>
        <w:rPr>
          <w:rFonts w:ascii="Times New Roman;Times;Serif" w:hAnsi="Times New Roman;Times;Serif"/>
          <w:b w:val="false"/>
          <w:i w:val="false"/>
          <w:caps w:val="false"/>
          <w:smallCaps w:val="false"/>
          <w:sz w:val="20"/>
        </w:rPr>
        <w:t>seven years from the date of grant.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Employee Stock Options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bookmarkStart w:id="589" w:name="xdx_8B3_zYgDsHa5yXA"/>
      <w:bookmarkStart w:id="590" w:name="xdx_896_eus-gaap--ShareBasedCompensation"/>
      <w:bookmarkEnd w:id="589"/>
      <w:bookmarkEnd w:id="590"/>
      <w:r>
        <w:rPr>
          <w:rFonts w:ascii="Times New Roman;Times;Serif" w:hAnsi="Times New Roman;Times;Serif"/>
          <w:b w:val="false"/>
          <w:i w:val="false"/>
          <w:caps w:val="false"/>
          <w:smallCaps w:val="false"/>
          <w:sz w:val="20"/>
        </w:rPr>
        <w:t>We follow ASC Topic 718, Share-Based Payments, in which compensation expense is recognized only for share-based payments expected to vest.</w:t>
      </w:r>
    </w:p>
    <w:p>
      <w:pPr>
        <w:pStyle w:val="TextBody"/>
        <w:bidi w:val="0"/>
        <w:spacing w:before="0" w:after="0"/>
        <w:ind w:left="0" w:right="0" w:firstLine="720"/>
        <w:jc w:val="left"/>
        <w:rPr>
          <w:caps w:val="false"/>
          <w:smallCaps w:val="false"/>
        </w:rPr>
      </w:pPr>
      <w:r>
        <w:rPr>
          <w:caps w:val="false"/>
          <w:smallCaps w:val="false"/>
        </w:rPr>
        <w:t> </w:t>
      </w:r>
    </w:p>
    <w:tbl>
      <w:tblPr>
        <w:tblW w:w="7660" w:type="dxa"/>
        <w:jc w:val="left"/>
        <w:tblInd w:w="0" w:type="dxa"/>
        <w:tblLayout w:type="fixed"/>
        <w:tblCellMar>
          <w:top w:w="0" w:type="dxa"/>
          <w:left w:w="0" w:type="dxa"/>
          <w:bottom w:w="0" w:type="dxa"/>
          <w:right w:w="0" w:type="dxa"/>
        </w:tblCellMar>
      </w:tblPr>
      <w:tblGrid>
        <w:gridCol w:w="6185"/>
        <w:gridCol w:w="60"/>
        <w:gridCol w:w="140"/>
        <w:gridCol w:w="380"/>
        <w:gridCol w:w="60"/>
        <w:gridCol w:w="60"/>
        <w:gridCol w:w="140"/>
        <w:gridCol w:w="560"/>
        <w:gridCol w:w="75"/>
      </w:tblGrid>
      <w:tr>
        <w:trPr/>
        <w:tc>
          <w:tcPr>
            <w:tcW w:w="6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center"/>
              <w:rPr/>
            </w:pPr>
            <w:r>
              <w:rPr/>
              <w:t> </w:t>
            </w:r>
            <w:bookmarkStart w:id="591" w:name="xdx_493_20250101__20251231__us-gaap--Awa"/>
            <w:bookmarkEnd w:id="591"/>
          </w:p>
        </w:tc>
        <w:tc>
          <w:tcPr>
            <w:tcW w:w="380" w:type="dxa"/>
            <w:tcBorders>
              <w:bottom w:val="single" w:sz="8" w:space="0" w:color="000000"/>
            </w:tcBorders>
            <w:tcMar>
              <w:bottom w:w="28" w:type="dxa"/>
            </w:tcMar>
            <w:vAlign w:val="center"/>
          </w:tcPr>
          <w:p>
            <w:pPr>
              <w:pStyle w:val="TableContents"/>
              <w:bidi w:val="0"/>
              <w:spacing w:before="0" w:after="283"/>
              <w:jc w:val="center"/>
              <w:rPr/>
            </w:pPr>
            <w:r>
              <w:rPr/>
              <w:t> </w:t>
            </w:r>
          </w:p>
        </w:tc>
        <w:tc>
          <w:tcPr>
            <w:tcW w:w="60" w:type="dxa"/>
            <w:tcBorders>
              <w:bottom w:val="single" w:sz="8" w:space="0" w:color="000000"/>
            </w:tcBorders>
            <w:tcMar>
              <w:bottom w:w="28" w:type="dxa"/>
            </w:tcMar>
            <w:vAlign w:val="center"/>
          </w:tcPr>
          <w:p>
            <w:pPr>
              <w:pStyle w:val="TableContents"/>
              <w:bidi w:val="0"/>
              <w:spacing w:before="0" w:after="283"/>
              <w:jc w:val="center"/>
              <w:rPr/>
            </w:pPr>
            <w:r>
              <w:rPr/>
              <w:t> </w:t>
            </w:r>
          </w:p>
        </w:tc>
        <w:tc>
          <w:tcPr>
            <w:tcW w:w="60" w:type="dxa"/>
            <w:tcBorders>
              <w:bottom w:val="single" w:sz="8" w:space="0" w:color="000000"/>
            </w:tcBorders>
            <w:tcMar>
              <w:bottom w:w="28" w:type="dxa"/>
            </w:tcMar>
            <w:vAlign w:val="center"/>
          </w:tcPr>
          <w:p>
            <w:pPr>
              <w:pStyle w:val="TableContents"/>
              <w:bidi w:val="0"/>
              <w:spacing w:before="0" w:after="283"/>
              <w:jc w:val="center"/>
              <w:rPr/>
            </w:pPr>
            <w:r>
              <w:rPr/>
              <w:t> </w:t>
            </w:r>
            <w:bookmarkStart w:id="592" w:name="xdx_491_20240101__20241231__us-gaap--Awa"/>
            <w:bookmarkEnd w:id="592"/>
          </w:p>
        </w:tc>
        <w:tc>
          <w:tcPr>
            <w:tcW w:w="700"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6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6"/>
            <w:tcBorders>
              <w:bottom w:val="single" w:sz="8" w:space="0" w:color="000000"/>
            </w:tcBorders>
            <w:tcMar>
              <w:bottom w:w="28" w:type="dxa"/>
            </w:tcMar>
            <w:vAlign w:val="center"/>
          </w:tcPr>
          <w:p>
            <w:pPr>
              <w:pStyle w:val="TableContents"/>
              <w:bidi w:val="0"/>
              <w:spacing w:before="0" w:after="0"/>
              <w:ind w:left="345"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Years ended </w:t>
            </w:r>
          </w:p>
          <w:p>
            <w:pPr>
              <w:pStyle w:val="TableContents"/>
              <w:bidi w:val="0"/>
              <w:spacing w:before="0" w:after="0"/>
              <w:ind w:left="435"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December 31,</w:t>
            </w:r>
            <w:r>
              <w:rPr>
                <w:rFonts w:ascii="Times New Roman;Times;Serif" w:hAnsi="Times New Roman;Times;Serif"/>
                <w:b w:val="false"/>
                <w:i w:val="false"/>
                <w:caps w:val="false"/>
                <w:smallCaps w:val="false"/>
                <w:sz w:val="20"/>
              </w:rPr>
              <w:t> </w:t>
            </w:r>
          </w:p>
        </w:tc>
        <w:tc>
          <w:tcPr>
            <w:tcW w:w="75" w:type="dxa"/>
            <w:tcBorders/>
            <w:vAlign w:val="center"/>
          </w:tcPr>
          <w:p>
            <w:pPr>
              <w:pStyle w:val="TableContents"/>
              <w:bidi w:val="0"/>
              <w:spacing w:before="0" w:after="283"/>
              <w:jc w:val="left"/>
              <w:rPr/>
            </w:pPr>
            <w:r>
              <w:rPr/>
              <w:t> </w:t>
            </w:r>
          </w:p>
        </w:tc>
      </w:tr>
      <w:tr>
        <w:trPr/>
        <w:tc>
          <w:tcPr>
            <w:tcW w:w="6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bookmarkStart w:id="593" w:name="xdx_405_eus-gaap--StockOptionPlanExpense"/>
            <w:bookmarkEnd w:id="593"/>
          </w:p>
        </w:tc>
      </w:tr>
      <w:tr>
        <w:trPr/>
        <w:tc>
          <w:tcPr>
            <w:tcW w:w="6185" w:type="dxa"/>
            <w:tcBorders/>
            <w:shd w:fill="CCEEFF" w:val="clear"/>
            <w:vAlign w:val="center"/>
          </w:tcPr>
          <w:p>
            <w:pPr>
              <w:pStyle w:val="TableContents"/>
              <w:bidi w:val="0"/>
              <w:spacing w:before="0" w:after="283"/>
              <w:jc w:val="left"/>
              <w:rPr/>
            </w:pPr>
            <w:r>
              <w:rPr/>
              <w:t>Share-based compensation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380" w:type="dxa"/>
            <w:tcBorders/>
            <w:shd w:fill="CCEEFF" w:val="clear"/>
            <w:vAlign w:val="center"/>
          </w:tcPr>
          <w:p>
            <w:pPr>
              <w:pStyle w:val="TableContents"/>
              <w:bidi w:val="0"/>
              <w:spacing w:before="0" w:after="283"/>
              <w:jc w:val="right"/>
              <w:rPr/>
            </w:pPr>
            <w:r>
              <w:rPr/>
              <w:t>575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725</w:t>
            </w:r>
          </w:p>
        </w:tc>
        <w:tc>
          <w:tcPr>
            <w:tcW w:w="75" w:type="dxa"/>
            <w:tcBorders/>
            <w:shd w:fill="CCEEFF" w:val="clear"/>
            <w:vAlign w:val="center"/>
          </w:tcPr>
          <w:p>
            <w:pPr>
              <w:pStyle w:val="TableContents"/>
              <w:bidi w:val="0"/>
              <w:spacing w:before="0" w:after="283"/>
              <w:jc w:val="left"/>
              <w:rPr/>
            </w:pPr>
            <w:r>
              <w:rPr/>
              <w:t> </w:t>
            </w:r>
            <w:bookmarkStart w:id="594" w:name="xdx_40B_eus-gaap--EmployeeServiceShareBa"/>
            <w:bookmarkEnd w:id="594"/>
          </w:p>
        </w:tc>
      </w:tr>
      <w:tr>
        <w:trPr/>
        <w:tc>
          <w:tcPr>
            <w:tcW w:w="6185" w:type="dxa"/>
            <w:tcBorders/>
            <w:shd w:fill="FFFFFF" w:val="clear"/>
            <w:vAlign w:val="center"/>
          </w:tcPr>
          <w:p>
            <w:pPr>
              <w:pStyle w:val="TableContents"/>
              <w:bidi w:val="0"/>
              <w:spacing w:before="0" w:after="283"/>
              <w:jc w:val="left"/>
              <w:rPr/>
            </w:pPr>
            <w:r>
              <w:rPr/>
              <w:t>Remaining unrecognized compensation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right"/>
              <w:rPr/>
            </w:pPr>
            <w:r>
              <w:rPr/>
              <w:t>692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1,057</w:t>
            </w:r>
          </w:p>
        </w:tc>
        <w:tc>
          <w:tcPr>
            <w:tcW w:w="75" w:type="dxa"/>
            <w:tcBorders/>
            <w:shd w:fill="FFFFFF" w:val="clear"/>
            <w:vAlign w:val="center"/>
          </w:tcPr>
          <w:p>
            <w:pPr>
              <w:pStyle w:val="TableContents"/>
              <w:bidi w:val="0"/>
              <w:spacing w:before="0" w:after="283"/>
              <w:jc w:val="left"/>
              <w:rPr/>
            </w:pPr>
            <w:r>
              <w:rPr/>
              <w:t> </w:t>
            </w:r>
          </w:p>
        </w:tc>
      </w:tr>
      <w:tr>
        <w:trPr/>
        <w:tc>
          <w:tcPr>
            <w:tcW w:w="6185" w:type="dxa"/>
            <w:tcBorders/>
            <w:shd w:fill="CCEEFF" w:val="clear"/>
            <w:vAlign w:val="center"/>
          </w:tcPr>
          <w:p>
            <w:pPr>
              <w:pStyle w:val="TableContents"/>
              <w:bidi w:val="0"/>
              <w:spacing w:before="0" w:after="283"/>
              <w:jc w:val="left"/>
              <w:rPr/>
            </w:pPr>
            <w:r>
              <w:rPr/>
              <w:t>Remaining weighted average-period, expense recognition (years)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pPr>
            <w:bookmarkStart w:id="595" w:name="xdx_90E_eus-gaap--EmployeeServiceShareBa"/>
            <w:bookmarkEnd w:id="595"/>
            <w:r>
              <w:rPr/>
              <w:t>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bookmarkStart w:id="596" w:name="xdx_90A_eus-gaap--EmployeeServiceShareBa"/>
            <w:bookmarkEnd w:id="596"/>
            <w:r>
              <w:rPr/>
              <w:t>2.4</w:t>
            </w:r>
          </w:p>
        </w:tc>
        <w:tc>
          <w:tcPr>
            <w:tcW w:w="75" w:type="dxa"/>
            <w:tcBorders/>
            <w:shd w:fill="CCEEFF" w:val="clear"/>
            <w:vAlign w:val="center"/>
          </w:tcPr>
          <w:p>
            <w:pPr>
              <w:pStyle w:val="TableContents"/>
              <w:bidi w:val="0"/>
              <w:spacing w:before="0" w:after="283"/>
              <w:jc w:val="left"/>
              <w:rPr/>
            </w:pPr>
            <w:r>
              <w:rPr/>
              <w:t> </w:t>
            </w:r>
            <w:bookmarkStart w:id="597" w:name="xdx_408_eus-gaap--AllocatedShareBasedCom"/>
            <w:bookmarkEnd w:id="597"/>
          </w:p>
        </w:tc>
      </w:tr>
      <w:tr>
        <w:trPr/>
        <w:tc>
          <w:tcPr>
            <w:tcW w:w="6185" w:type="dxa"/>
            <w:tcBorders/>
            <w:shd w:fill="FFFFFF" w:val="clear"/>
            <w:vAlign w:val="center"/>
          </w:tcPr>
          <w:p>
            <w:pPr>
              <w:pStyle w:val="TableContents"/>
              <w:bidi w:val="0"/>
              <w:spacing w:before="0" w:after="283"/>
              <w:jc w:val="left"/>
              <w:rPr/>
            </w:pPr>
            <w:r>
              <w:rPr/>
              <w:t>Tax effect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380" w:type="dxa"/>
            <w:tcBorders/>
            <w:shd w:fill="FFFFFF" w:val="clear"/>
            <w:vAlign w:val="center"/>
          </w:tcPr>
          <w:p>
            <w:pPr>
              <w:pStyle w:val="TableContents"/>
              <w:bidi w:val="0"/>
              <w:spacing w:before="0" w:after="283"/>
              <w:jc w:val="right"/>
              <w:rPr/>
            </w:pPr>
            <w:r>
              <w:rPr/>
              <w:t>335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77</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bookmarkStart w:id="598" w:name="xdx_8A4_zHrNxEYsJUH5"/>
      <w:bookmarkEnd w:id="598"/>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F-17 </w:t>
      </w:r>
    </w:p>
    <w:p>
      <w:pPr>
        <w:pStyle w:val="TextBody"/>
        <w:bidi w:val="0"/>
        <w:spacing w:before="0" w:after="0"/>
        <w:ind w:left="0" w:right="0" w:firstLine="720"/>
        <w:jc w:val="both"/>
        <w:rPr>
          <w:caps w:val="false"/>
          <w:smallCaps w:val="false"/>
        </w:rPr>
      </w:pPr>
      <w:bookmarkStart w:id="599" w:name="xdx_23D_zr4ePZKReRqe"/>
      <w:bookmarkEnd w:id="599"/>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use the Black-Scholes option pricing model to determine the fair value of stock-based compensation. The Black-Scholes model requires us to make several assumptions, including the estimated length of time employees will retain their vested stock options before exercising them (“expected term”), the estimated volatility of our common stock price over the expected term, and estimated forfeitures. Expected price volatility is based on the daily market rate changes of our stock. The active shares granted prior to fiscal 2020 had a contractual life of </w:t>
      </w:r>
      <w:bookmarkStart w:id="600" w:name="xdx_90A_eus-gaap--SharebasedCompensation"/>
      <w:bookmarkEnd w:id="600"/>
      <w:r>
        <w:rPr>
          <w:rFonts w:ascii="Times New Roman;Times;Serif" w:hAnsi="Times New Roman;Times;Serif"/>
          <w:b w:val="false"/>
          <w:i w:val="false"/>
          <w:caps w:val="false"/>
          <w:smallCaps w:val="false"/>
          <w:sz w:val="20"/>
        </w:rPr>
        <w:t>10 years as dictated by the 2010 Plan. The Black-Scholes model also requires a risk-free interest rate, which is based on the U.S. Treasury yield curve in effect at the time of the grant, and the dividend yield on our common stock, which is assumed to be zero since we do not pay dividends and have no current plans to do so in the future. Changes in these assumptions can materially affect the estimate of fair value of stock-based compensation and consequently, the related expense recognized on the statement of operations. We recognize stock-based compensation expense on a straight-line basis over the requisite service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bookmarkStart w:id="601" w:name="xdx_8B3_zbuDdwFu4mX4"/>
      <w:bookmarkStart w:id="602" w:name="xdx_89C_eus-gaap--ScheduleOfShareBasedPa"/>
      <w:bookmarkEnd w:id="601"/>
      <w:bookmarkEnd w:id="602"/>
      <w:r>
        <w:rPr>
          <w:rFonts w:ascii="Times New Roman;Times;Serif" w:hAnsi="Times New Roman;Times;Serif"/>
          <w:b w:val="false"/>
          <w:i w:val="false"/>
          <w:caps w:val="false"/>
          <w:smallCaps w:val="false"/>
          <w:sz w:val="20"/>
        </w:rPr>
        <w:t>The following table illustrates the various assumptions used to calculate the Black-Scholes option pricing model for options granted for all years presented:</w:t>
      </w:r>
    </w:p>
    <w:p>
      <w:pPr>
        <w:pStyle w:val="TextBody"/>
        <w:bidi w:val="0"/>
        <w:spacing w:before="0" w:after="0"/>
        <w:ind w:left="0" w:right="0" w:firstLine="720"/>
        <w:jc w:val="both"/>
        <w:rPr>
          <w:caps w:val="false"/>
          <w:smallCaps w:val="false"/>
        </w:rPr>
      </w:pPr>
      <w:r>
        <w:rPr>
          <w:caps w:val="false"/>
          <w:smallCaps w:val="false"/>
        </w:rPr>
        <w:t> </w:t>
      </w:r>
    </w:p>
    <w:tbl>
      <w:tblPr>
        <w:tblW w:w="8143" w:type="dxa"/>
        <w:jc w:val="left"/>
        <w:tblInd w:w="0" w:type="dxa"/>
        <w:tblLayout w:type="fixed"/>
        <w:tblCellMar>
          <w:top w:w="0" w:type="dxa"/>
          <w:left w:w="0" w:type="dxa"/>
          <w:bottom w:w="0" w:type="dxa"/>
          <w:right w:w="0" w:type="dxa"/>
        </w:tblCellMar>
      </w:tblPr>
      <w:tblGrid>
        <w:gridCol w:w="5045"/>
        <w:gridCol w:w="60"/>
        <w:gridCol w:w="274"/>
        <w:gridCol w:w="861"/>
        <w:gridCol w:w="421"/>
        <w:gridCol w:w="117"/>
        <w:gridCol w:w="274"/>
        <w:gridCol w:w="861"/>
        <w:gridCol w:w="230"/>
      </w:tblGrid>
      <w:tr>
        <w:trPr/>
        <w:tc>
          <w:tcPr>
            <w:tcW w:w="50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0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Years Ended December 31,</w:t>
            </w:r>
          </w:p>
        </w:tc>
        <w:tc>
          <w:tcPr>
            <w:tcW w:w="230" w:type="dxa"/>
            <w:tcBorders/>
            <w:vAlign w:val="center"/>
          </w:tcPr>
          <w:p>
            <w:pPr>
              <w:pStyle w:val="TableContents"/>
              <w:bidi w:val="0"/>
              <w:spacing w:before="0" w:after="283"/>
              <w:jc w:val="left"/>
              <w:rPr/>
            </w:pPr>
            <w:r>
              <w:rPr/>
              <w:t> </w:t>
            </w:r>
          </w:p>
        </w:tc>
      </w:tr>
      <w:tr>
        <w:trPr/>
        <w:tc>
          <w:tcPr>
            <w:tcW w:w="50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421"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11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230" w:type="dxa"/>
            <w:tcBorders/>
            <w:vAlign w:val="center"/>
          </w:tcPr>
          <w:p>
            <w:pPr>
              <w:pStyle w:val="TableContents"/>
              <w:bidi w:val="0"/>
              <w:spacing w:before="0" w:after="283"/>
              <w:jc w:val="left"/>
              <w:rPr/>
            </w:pPr>
            <w:r>
              <w:rPr/>
              <w:t> </w:t>
            </w:r>
          </w:p>
        </w:tc>
      </w:tr>
      <w:tr>
        <w:trPr/>
        <w:tc>
          <w:tcPr>
            <w:tcW w:w="5045" w:type="dxa"/>
            <w:tcBorders/>
            <w:shd w:fill="CCEEFF" w:val="clear"/>
            <w:vAlign w:val="center"/>
          </w:tcPr>
          <w:p>
            <w:pPr>
              <w:pStyle w:val="TableContents"/>
              <w:bidi w:val="0"/>
              <w:spacing w:before="0" w:after="283"/>
              <w:jc w:val="left"/>
              <w:rPr/>
            </w:pPr>
            <w:r>
              <w:rPr/>
              <w:t>Weighted-average risk-free interest rates:</w:t>
            </w:r>
          </w:p>
        </w:tc>
        <w:tc>
          <w:tcPr>
            <w:tcW w:w="6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bookmarkStart w:id="603" w:name="xdx_985_eus-gaap--ShareBasedCompensation"/>
            <w:bookmarkEnd w:id="603"/>
          </w:p>
        </w:tc>
        <w:tc>
          <w:tcPr>
            <w:tcW w:w="861" w:type="dxa"/>
            <w:tcBorders/>
            <w:shd w:fill="CCEEFF" w:val="clear"/>
            <w:vAlign w:val="center"/>
          </w:tcPr>
          <w:p>
            <w:pPr>
              <w:pStyle w:val="TableContents"/>
              <w:bidi w:val="0"/>
              <w:spacing w:before="0" w:after="283"/>
              <w:jc w:val="right"/>
              <w:rPr/>
            </w:pPr>
            <w:r>
              <w:rPr/>
              <w:t>4.0</w:t>
            </w:r>
          </w:p>
        </w:tc>
        <w:tc>
          <w:tcPr>
            <w:tcW w:w="421" w:type="dxa"/>
            <w:tcBorders/>
            <w:shd w:fill="CCEEFF" w:val="clear"/>
            <w:vAlign w:val="center"/>
          </w:tcPr>
          <w:p>
            <w:pPr>
              <w:pStyle w:val="TableContents"/>
              <w:bidi w:val="0"/>
              <w:spacing w:before="0" w:after="283"/>
              <w:jc w:val="left"/>
              <w:rPr/>
            </w:pPr>
            <w:r>
              <w:rPr/>
              <w:t>%</w:t>
            </w:r>
          </w:p>
        </w:tc>
        <w:tc>
          <w:tcPr>
            <w:tcW w:w="117"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bookmarkStart w:id="604" w:name="xdx_985_eus-gaap--ShareBasedCompensation"/>
            <w:bookmarkEnd w:id="604"/>
          </w:p>
        </w:tc>
        <w:tc>
          <w:tcPr>
            <w:tcW w:w="861" w:type="dxa"/>
            <w:tcBorders/>
            <w:shd w:fill="CCEEFF" w:val="clear"/>
            <w:vAlign w:val="center"/>
          </w:tcPr>
          <w:p>
            <w:pPr>
              <w:pStyle w:val="TableContents"/>
              <w:bidi w:val="0"/>
              <w:spacing w:before="0" w:after="283"/>
              <w:jc w:val="right"/>
              <w:rPr/>
            </w:pPr>
            <w:r>
              <w:rPr/>
              <w:t>4.3</w:t>
            </w:r>
          </w:p>
        </w:tc>
        <w:tc>
          <w:tcPr>
            <w:tcW w:w="230" w:type="dxa"/>
            <w:tcBorders/>
            <w:shd w:fill="CCEEFF" w:val="clear"/>
            <w:vAlign w:val="center"/>
          </w:tcPr>
          <w:p>
            <w:pPr>
              <w:pStyle w:val="TableContents"/>
              <w:bidi w:val="0"/>
              <w:spacing w:before="0" w:after="283"/>
              <w:jc w:val="left"/>
              <w:rPr/>
            </w:pPr>
            <w:r>
              <w:rPr/>
              <w:t>%</w:t>
            </w:r>
          </w:p>
        </w:tc>
      </w:tr>
      <w:tr>
        <w:trPr/>
        <w:tc>
          <w:tcPr>
            <w:tcW w:w="50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right"/>
              <w:rPr/>
            </w:pPr>
            <w:r>
              <w:rPr/>
              <w:t> </w:t>
            </w:r>
          </w:p>
        </w:tc>
        <w:tc>
          <w:tcPr>
            <w:tcW w:w="421"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5045" w:type="dxa"/>
            <w:tcBorders/>
            <w:shd w:fill="CCEEFF" w:val="clear"/>
            <w:vAlign w:val="center"/>
          </w:tcPr>
          <w:p>
            <w:pPr>
              <w:pStyle w:val="TableContents"/>
              <w:bidi w:val="0"/>
              <w:spacing w:before="0" w:after="283"/>
              <w:jc w:val="left"/>
              <w:rPr/>
            </w:pPr>
            <w:r>
              <w:rPr/>
              <w:t>Dividend yield:</w:t>
            </w:r>
          </w:p>
        </w:tc>
        <w:tc>
          <w:tcPr>
            <w:tcW w:w="6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bookmarkStart w:id="605" w:name="xdx_98D_eus-gaap--ShareBasedCompensation"/>
            <w:bookmarkEnd w:id="605"/>
          </w:p>
        </w:tc>
        <w:tc>
          <w:tcPr>
            <w:tcW w:w="861" w:type="dxa"/>
            <w:tcBorders/>
            <w:shd w:fill="CCEEFF" w:val="clear"/>
            <w:vAlign w:val="center"/>
          </w:tcPr>
          <w:p>
            <w:pPr>
              <w:pStyle w:val="TableContents"/>
              <w:bidi w:val="0"/>
              <w:spacing w:before="0" w:after="283"/>
              <w:jc w:val="right"/>
              <w:rPr/>
            </w:pPr>
            <w:r>
              <w:rPr/>
              <w:t>0</w:t>
            </w:r>
          </w:p>
        </w:tc>
        <w:tc>
          <w:tcPr>
            <w:tcW w:w="421" w:type="dxa"/>
            <w:tcBorders/>
            <w:shd w:fill="CCEEFF" w:val="clear"/>
            <w:vAlign w:val="center"/>
          </w:tcPr>
          <w:p>
            <w:pPr>
              <w:pStyle w:val="TableContents"/>
              <w:bidi w:val="0"/>
              <w:spacing w:before="0" w:after="283"/>
              <w:jc w:val="left"/>
              <w:rPr/>
            </w:pPr>
            <w:r>
              <w:rPr/>
              <w:t>%</w:t>
            </w:r>
          </w:p>
        </w:tc>
        <w:tc>
          <w:tcPr>
            <w:tcW w:w="117"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bookmarkStart w:id="606" w:name="xdx_98D_eus-gaap--ShareBasedCompensation"/>
            <w:bookmarkEnd w:id="606"/>
          </w:p>
        </w:tc>
        <w:tc>
          <w:tcPr>
            <w:tcW w:w="861" w:type="dxa"/>
            <w:tcBorders/>
            <w:shd w:fill="CCEEFF" w:val="clear"/>
            <w:vAlign w:val="center"/>
          </w:tcPr>
          <w:p>
            <w:pPr>
              <w:pStyle w:val="TableContents"/>
              <w:bidi w:val="0"/>
              <w:spacing w:before="0" w:after="283"/>
              <w:jc w:val="right"/>
              <w:rPr/>
            </w:pPr>
            <w:r>
              <w:rPr/>
              <w:t>0</w:t>
            </w:r>
          </w:p>
        </w:tc>
        <w:tc>
          <w:tcPr>
            <w:tcW w:w="230" w:type="dxa"/>
            <w:tcBorders/>
            <w:shd w:fill="CCEEFF" w:val="clear"/>
            <w:vAlign w:val="center"/>
          </w:tcPr>
          <w:p>
            <w:pPr>
              <w:pStyle w:val="TableContents"/>
              <w:bidi w:val="0"/>
              <w:spacing w:before="0" w:after="283"/>
              <w:jc w:val="left"/>
              <w:rPr/>
            </w:pPr>
            <w:r>
              <w:rPr/>
              <w:t>%</w:t>
            </w:r>
          </w:p>
        </w:tc>
      </w:tr>
      <w:tr>
        <w:trPr/>
        <w:tc>
          <w:tcPr>
            <w:tcW w:w="50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right"/>
              <w:rPr/>
            </w:pPr>
            <w:r>
              <w:rPr/>
              <w:t> </w:t>
            </w:r>
          </w:p>
        </w:tc>
        <w:tc>
          <w:tcPr>
            <w:tcW w:w="421"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5045" w:type="dxa"/>
            <w:tcBorders/>
            <w:shd w:fill="CCEEFF" w:val="clear"/>
            <w:vAlign w:val="center"/>
          </w:tcPr>
          <w:p>
            <w:pPr>
              <w:pStyle w:val="TableContents"/>
              <w:bidi w:val="0"/>
              <w:spacing w:before="0" w:after="283"/>
              <w:jc w:val="left"/>
              <w:rPr/>
            </w:pPr>
            <w:r>
              <w:rPr/>
              <w:t>Weighted-average expected life (years) of the option:</w:t>
            </w:r>
          </w:p>
        </w:tc>
        <w:tc>
          <w:tcPr>
            <w:tcW w:w="6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bookmarkStart w:id="607" w:name="xdx_98E_eus-gaap--SharebasedCompensation"/>
            <w:bookmarkEnd w:id="607"/>
          </w:p>
        </w:tc>
        <w:tc>
          <w:tcPr>
            <w:tcW w:w="861" w:type="dxa"/>
            <w:tcBorders/>
            <w:shd w:fill="CCEEFF" w:val="clear"/>
            <w:vAlign w:val="center"/>
          </w:tcPr>
          <w:p>
            <w:pPr>
              <w:pStyle w:val="TableContents"/>
              <w:bidi w:val="0"/>
              <w:spacing w:before="0" w:after="283"/>
              <w:jc w:val="right"/>
              <w:rPr/>
            </w:pPr>
            <w:r>
              <w:rPr/>
              <w:t>4</w:t>
            </w:r>
          </w:p>
        </w:tc>
        <w:tc>
          <w:tcPr>
            <w:tcW w:w="421"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bookmarkStart w:id="608" w:name="xdx_985_eus-gaap--SharebasedCompensation"/>
            <w:bookmarkEnd w:id="608"/>
          </w:p>
        </w:tc>
        <w:tc>
          <w:tcPr>
            <w:tcW w:w="861" w:type="dxa"/>
            <w:tcBorders/>
            <w:shd w:fill="CCEEFF" w:val="clear"/>
            <w:vAlign w:val="center"/>
          </w:tcPr>
          <w:p>
            <w:pPr>
              <w:pStyle w:val="TableContents"/>
              <w:bidi w:val="0"/>
              <w:spacing w:before="0" w:after="283"/>
              <w:jc w:val="right"/>
              <w:rPr/>
            </w:pPr>
            <w:r>
              <w:rPr/>
              <w:t>4</w:t>
            </w:r>
          </w:p>
        </w:tc>
        <w:tc>
          <w:tcPr>
            <w:tcW w:w="230" w:type="dxa"/>
            <w:tcBorders/>
            <w:shd w:fill="CCEEFF" w:val="clear"/>
            <w:vAlign w:val="center"/>
          </w:tcPr>
          <w:p>
            <w:pPr>
              <w:pStyle w:val="TableContents"/>
              <w:bidi w:val="0"/>
              <w:spacing w:before="0" w:after="283"/>
              <w:jc w:val="left"/>
              <w:rPr/>
            </w:pPr>
            <w:r>
              <w:rPr/>
              <w:t> </w:t>
            </w:r>
          </w:p>
        </w:tc>
      </w:tr>
      <w:tr>
        <w:trPr/>
        <w:tc>
          <w:tcPr>
            <w:tcW w:w="50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right"/>
              <w:rPr/>
            </w:pPr>
            <w:r>
              <w:rPr/>
              <w:t> </w:t>
            </w:r>
          </w:p>
        </w:tc>
        <w:tc>
          <w:tcPr>
            <w:tcW w:w="421"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5045" w:type="dxa"/>
            <w:tcBorders/>
            <w:shd w:fill="CCEEFF" w:val="clear"/>
            <w:vAlign w:val="center"/>
          </w:tcPr>
          <w:p>
            <w:pPr>
              <w:pStyle w:val="TableContents"/>
              <w:bidi w:val="0"/>
              <w:spacing w:before="0" w:after="283"/>
              <w:jc w:val="left"/>
              <w:rPr/>
            </w:pPr>
            <w:r>
              <w:rPr/>
              <w:t>Weighted-average expected stock price volatility:</w:t>
            </w:r>
          </w:p>
        </w:tc>
        <w:tc>
          <w:tcPr>
            <w:tcW w:w="6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bookmarkStart w:id="609" w:name="xdx_988_eus-gaap--ShareBasedCompensation"/>
            <w:bookmarkEnd w:id="609"/>
          </w:p>
        </w:tc>
        <w:tc>
          <w:tcPr>
            <w:tcW w:w="861" w:type="dxa"/>
            <w:tcBorders/>
            <w:shd w:fill="CCEEFF" w:val="clear"/>
            <w:vAlign w:val="center"/>
          </w:tcPr>
          <w:p>
            <w:pPr>
              <w:pStyle w:val="TableContents"/>
              <w:bidi w:val="0"/>
              <w:spacing w:before="0" w:after="283"/>
              <w:jc w:val="right"/>
              <w:rPr/>
            </w:pPr>
            <w:r>
              <w:rPr/>
              <w:t>91</w:t>
            </w:r>
          </w:p>
        </w:tc>
        <w:tc>
          <w:tcPr>
            <w:tcW w:w="421" w:type="dxa"/>
            <w:tcBorders/>
            <w:shd w:fill="CCEEFF" w:val="clear"/>
            <w:vAlign w:val="center"/>
          </w:tcPr>
          <w:p>
            <w:pPr>
              <w:pStyle w:val="TableContents"/>
              <w:bidi w:val="0"/>
              <w:spacing w:before="0" w:after="283"/>
              <w:jc w:val="left"/>
              <w:rPr/>
            </w:pPr>
            <w:r>
              <w:rPr/>
              <w:t>%</w:t>
            </w:r>
          </w:p>
        </w:tc>
        <w:tc>
          <w:tcPr>
            <w:tcW w:w="117"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bookmarkStart w:id="610" w:name="xdx_98F_eus-gaap--ShareBasedCompensation"/>
            <w:bookmarkEnd w:id="610"/>
          </w:p>
        </w:tc>
        <w:tc>
          <w:tcPr>
            <w:tcW w:w="861" w:type="dxa"/>
            <w:tcBorders/>
            <w:shd w:fill="CCEEFF" w:val="clear"/>
            <w:vAlign w:val="center"/>
          </w:tcPr>
          <w:p>
            <w:pPr>
              <w:pStyle w:val="TableContents"/>
              <w:bidi w:val="0"/>
              <w:spacing w:before="0" w:after="283"/>
              <w:jc w:val="right"/>
              <w:rPr/>
            </w:pPr>
            <w:r>
              <w:rPr/>
              <w:t>91</w:t>
            </w:r>
          </w:p>
        </w:tc>
        <w:tc>
          <w:tcPr>
            <w:tcW w:w="230" w:type="dxa"/>
            <w:tcBorders/>
            <w:shd w:fill="CCEEFF" w:val="clear"/>
            <w:vAlign w:val="center"/>
          </w:tcPr>
          <w:p>
            <w:pPr>
              <w:pStyle w:val="TableContents"/>
              <w:bidi w:val="0"/>
              <w:spacing w:before="0" w:after="283"/>
              <w:jc w:val="left"/>
              <w:rPr/>
            </w:pPr>
            <w:r>
              <w:rPr/>
              <w:t>%</w:t>
            </w:r>
          </w:p>
        </w:tc>
      </w:tr>
      <w:tr>
        <w:trPr/>
        <w:tc>
          <w:tcPr>
            <w:tcW w:w="50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right"/>
              <w:rPr/>
            </w:pPr>
            <w:r>
              <w:rPr/>
              <w:t> </w:t>
            </w:r>
          </w:p>
        </w:tc>
        <w:tc>
          <w:tcPr>
            <w:tcW w:w="421"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5045" w:type="dxa"/>
            <w:tcBorders/>
            <w:shd w:fill="CCEEFF" w:val="clear"/>
            <w:vAlign w:val="center"/>
          </w:tcPr>
          <w:p>
            <w:pPr>
              <w:pStyle w:val="TableContents"/>
              <w:bidi w:val="0"/>
              <w:spacing w:before="0" w:after="283"/>
              <w:jc w:val="left"/>
              <w:rPr/>
            </w:pPr>
            <w:r>
              <w:rPr/>
              <w:t>Weighted-average fair value of the options granted:</w:t>
            </w:r>
          </w:p>
        </w:tc>
        <w:tc>
          <w:tcPr>
            <w:tcW w:w="6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w:t>
            </w:r>
            <w:bookmarkStart w:id="611" w:name="xdx_98E_eus-gaap--ShareBasedCompensation"/>
            <w:bookmarkEnd w:id="611"/>
          </w:p>
        </w:tc>
        <w:tc>
          <w:tcPr>
            <w:tcW w:w="861" w:type="dxa"/>
            <w:tcBorders/>
            <w:shd w:fill="CCEEFF" w:val="clear"/>
            <w:vAlign w:val="center"/>
          </w:tcPr>
          <w:p>
            <w:pPr>
              <w:pStyle w:val="TableContents"/>
              <w:bidi w:val="0"/>
              <w:spacing w:before="0" w:after="283"/>
              <w:jc w:val="right"/>
              <w:rPr/>
            </w:pPr>
            <w:r>
              <w:rPr/>
              <w:t>2.20</w:t>
            </w:r>
          </w:p>
        </w:tc>
        <w:tc>
          <w:tcPr>
            <w:tcW w:w="421"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w:t>
            </w:r>
            <w:bookmarkStart w:id="612" w:name="xdx_984_eus-gaap--ShareBasedCompensation"/>
            <w:bookmarkEnd w:id="612"/>
          </w:p>
        </w:tc>
        <w:tc>
          <w:tcPr>
            <w:tcW w:w="861" w:type="dxa"/>
            <w:tcBorders/>
            <w:shd w:fill="CCEEFF" w:val="clear"/>
            <w:vAlign w:val="center"/>
          </w:tcPr>
          <w:p>
            <w:pPr>
              <w:pStyle w:val="TableContents"/>
              <w:bidi w:val="0"/>
              <w:spacing w:before="0" w:after="283"/>
              <w:jc w:val="right"/>
              <w:rPr/>
            </w:pPr>
            <w:r>
              <w:rPr/>
              <w:t>1.74</w:t>
            </w:r>
          </w:p>
        </w:tc>
        <w:tc>
          <w:tcPr>
            <w:tcW w:w="230" w:type="dxa"/>
            <w:tcBorders/>
            <w:shd w:fill="CCEEFF" w:val="clear"/>
            <w:vAlign w:val="center"/>
          </w:tcPr>
          <w:p>
            <w:pPr>
              <w:pStyle w:val="TableContents"/>
              <w:bidi w:val="0"/>
              <w:spacing w:before="0" w:after="283"/>
              <w:jc w:val="left"/>
              <w:rPr/>
            </w:pPr>
            <w:r>
              <w:rPr/>
              <w:t> </w:t>
            </w:r>
          </w:p>
        </w:tc>
      </w:tr>
      <w:tr>
        <w:trPr/>
        <w:tc>
          <w:tcPr>
            <w:tcW w:w="50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right"/>
              <w:rPr/>
            </w:pPr>
            <w:r>
              <w:rPr/>
              <w:t> </w:t>
            </w:r>
          </w:p>
        </w:tc>
        <w:tc>
          <w:tcPr>
            <w:tcW w:w="421"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bookmarkStart w:id="613" w:name="xdx_8A8_zsAxlSVG3g1f"/>
      <w:bookmarkEnd w:id="613"/>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bookmarkStart w:id="614" w:name="xdx_8B2_zHQk56qgFx7g"/>
      <w:bookmarkStart w:id="615" w:name="xdx_896_ecustom--AdditionalDisclosuresFo"/>
      <w:bookmarkEnd w:id="614"/>
      <w:bookmarkEnd w:id="615"/>
      <w:r>
        <w:rPr>
          <w:rFonts w:ascii="Times New Roman;Times;Serif" w:hAnsi="Times New Roman;Times;Serif"/>
          <w:b w:val="false"/>
          <w:i w:val="false"/>
          <w:caps w:val="false"/>
          <w:smallCaps w:val="false"/>
          <w:sz w:val="20"/>
        </w:rPr>
        <w:t>Additional disclosures for options granted for all years presented:</w:t>
      </w:r>
    </w:p>
    <w:p>
      <w:pPr>
        <w:pStyle w:val="TextBody"/>
        <w:bidi w:val="0"/>
        <w:spacing w:before="0" w:after="0"/>
        <w:ind w:left="0" w:right="0" w:firstLine="720"/>
        <w:jc w:val="both"/>
        <w:rPr>
          <w:caps w:val="false"/>
          <w:smallCaps w:val="false"/>
        </w:rPr>
      </w:pPr>
      <w:r>
        <w:rPr>
          <w:caps w:val="false"/>
          <w:smallCaps w:val="false"/>
        </w:rPr>
        <w:t> </w:t>
      </w:r>
    </w:p>
    <w:tbl>
      <w:tblPr>
        <w:tblW w:w="7856" w:type="dxa"/>
        <w:jc w:val="left"/>
        <w:tblInd w:w="0" w:type="dxa"/>
        <w:tblLayout w:type="fixed"/>
        <w:tblCellMar>
          <w:top w:w="0" w:type="dxa"/>
          <w:left w:w="0" w:type="dxa"/>
          <w:bottom w:w="0" w:type="dxa"/>
          <w:right w:w="0" w:type="dxa"/>
        </w:tblCellMar>
      </w:tblPr>
      <w:tblGrid>
        <w:gridCol w:w="4760"/>
        <w:gridCol w:w="60"/>
        <w:gridCol w:w="247"/>
        <w:gridCol w:w="580"/>
        <w:gridCol w:w="894"/>
        <w:gridCol w:w="247"/>
        <w:gridCol w:w="247"/>
        <w:gridCol w:w="591"/>
        <w:gridCol w:w="230"/>
      </w:tblGrid>
      <w:tr>
        <w:trPr/>
        <w:tc>
          <w:tcPr>
            <w:tcW w:w="47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0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Years Ended December 31,</w:t>
            </w:r>
          </w:p>
        </w:tc>
        <w:tc>
          <w:tcPr>
            <w:tcW w:w="230" w:type="dxa"/>
            <w:tcBorders/>
            <w:vAlign w:val="center"/>
          </w:tcPr>
          <w:p>
            <w:pPr>
              <w:pStyle w:val="TableContents"/>
              <w:bidi w:val="0"/>
              <w:spacing w:before="0" w:after="283"/>
              <w:jc w:val="left"/>
              <w:rPr/>
            </w:pPr>
            <w:r>
              <w:rPr/>
              <w:t> </w:t>
            </w:r>
          </w:p>
        </w:tc>
      </w:tr>
      <w:tr>
        <w:trPr/>
        <w:tc>
          <w:tcPr>
            <w:tcW w:w="47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894"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 </w:t>
            </w:r>
          </w:p>
        </w:tc>
        <w:tc>
          <w:tcPr>
            <w:tcW w:w="83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230" w:type="dxa"/>
            <w:tcBorders/>
            <w:vAlign w:val="center"/>
          </w:tcPr>
          <w:p>
            <w:pPr>
              <w:pStyle w:val="TableContents"/>
              <w:bidi w:val="0"/>
              <w:spacing w:before="0" w:after="283"/>
              <w:jc w:val="left"/>
              <w:rPr/>
            </w:pPr>
            <w:r>
              <w:rPr/>
              <w:t> </w:t>
            </w:r>
          </w:p>
        </w:tc>
      </w:tr>
      <w:tr>
        <w:trPr/>
        <w:tc>
          <w:tcPr>
            <w:tcW w:w="4760" w:type="dxa"/>
            <w:tcBorders/>
            <w:shd w:fill="CCEEFF" w:val="clear"/>
            <w:vAlign w:val="center"/>
          </w:tcPr>
          <w:p>
            <w:pPr>
              <w:pStyle w:val="TableContents"/>
              <w:bidi w:val="0"/>
              <w:spacing w:before="0" w:after="283"/>
              <w:jc w:val="left"/>
              <w:rPr/>
            </w:pPr>
            <w:r>
              <w:rPr/>
              <w:t>Vesting period (years) of shares granted in period</w:t>
            </w:r>
          </w:p>
        </w:tc>
        <w:tc>
          <w:tcPr>
            <w:tcW w:w="6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 </w:t>
            </w:r>
            <w:bookmarkStart w:id="616" w:name="xdx_983_eus-gaap--ShareBasedCompensation"/>
            <w:bookmarkEnd w:id="616"/>
          </w:p>
        </w:tc>
        <w:tc>
          <w:tcPr>
            <w:tcW w:w="580" w:type="dxa"/>
            <w:tcBorders/>
            <w:shd w:fill="CCEEFF" w:val="clear"/>
            <w:vAlign w:val="center"/>
          </w:tcPr>
          <w:p>
            <w:pPr>
              <w:pStyle w:val="TableContents"/>
              <w:bidi w:val="0"/>
              <w:spacing w:before="0" w:after="283"/>
              <w:jc w:val="right"/>
              <w:rPr/>
            </w:pPr>
            <w:r>
              <w:rPr/>
              <w:t>3</w:t>
            </w:r>
          </w:p>
        </w:tc>
        <w:tc>
          <w:tcPr>
            <w:tcW w:w="894"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 </w:t>
            </w:r>
            <w:bookmarkStart w:id="617" w:name="xdx_981_eus-gaap--ShareBasedCompensation"/>
            <w:bookmarkEnd w:id="617"/>
          </w:p>
        </w:tc>
        <w:tc>
          <w:tcPr>
            <w:tcW w:w="591" w:type="dxa"/>
            <w:tcBorders/>
            <w:shd w:fill="CCEEFF" w:val="clear"/>
            <w:vAlign w:val="center"/>
          </w:tcPr>
          <w:p>
            <w:pPr>
              <w:pStyle w:val="TableContents"/>
              <w:bidi w:val="0"/>
              <w:spacing w:before="0" w:after="283"/>
              <w:jc w:val="right"/>
              <w:rPr/>
            </w:pPr>
            <w:r>
              <w:rPr/>
              <w:t>3</w:t>
            </w:r>
          </w:p>
        </w:tc>
        <w:tc>
          <w:tcPr>
            <w:tcW w:w="230" w:type="dxa"/>
            <w:tcBorders/>
            <w:shd w:fill="CCEEFF" w:val="clear"/>
            <w:vAlign w:val="center"/>
          </w:tcPr>
          <w:p>
            <w:pPr>
              <w:pStyle w:val="TableContents"/>
              <w:bidi w:val="0"/>
              <w:spacing w:before="0" w:after="283"/>
              <w:jc w:val="left"/>
              <w:rPr/>
            </w:pPr>
            <w:r>
              <w:rPr/>
              <w:t> </w:t>
            </w:r>
          </w:p>
        </w:tc>
      </w:tr>
      <w:tr>
        <w:trPr/>
        <w:tc>
          <w:tcPr>
            <w:tcW w:w="47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pPr>
            <w:r>
              <w:rPr/>
              <w:t> </w:t>
            </w:r>
          </w:p>
        </w:tc>
        <w:tc>
          <w:tcPr>
            <w:tcW w:w="580" w:type="dxa"/>
            <w:tcBorders/>
            <w:shd w:fill="FFFFFF" w:val="clear"/>
            <w:vAlign w:val="center"/>
          </w:tcPr>
          <w:p>
            <w:pPr>
              <w:pStyle w:val="TableContents"/>
              <w:bidi w:val="0"/>
              <w:spacing w:before="0" w:after="283"/>
              <w:jc w:val="right"/>
              <w:rPr/>
            </w:pPr>
            <w:r>
              <w:rPr/>
              <w:t> </w:t>
            </w:r>
          </w:p>
        </w:tc>
        <w:tc>
          <w:tcPr>
            <w:tcW w:w="894"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pPr>
            <w:r>
              <w:rPr/>
              <w:t> </w:t>
            </w:r>
          </w:p>
        </w:tc>
        <w:tc>
          <w:tcPr>
            <w:tcW w:w="591"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4760" w:type="dxa"/>
            <w:tcBorders/>
            <w:shd w:fill="CCEEFF" w:val="clear"/>
            <w:vAlign w:val="center"/>
          </w:tcPr>
          <w:p>
            <w:pPr>
              <w:pStyle w:val="TableContents"/>
              <w:bidi w:val="0"/>
              <w:spacing w:before="0" w:after="283"/>
              <w:jc w:val="left"/>
              <w:rPr/>
            </w:pPr>
            <w:r>
              <w:rPr/>
              <w:t>Contractual life (years) of shares granted in period</w:t>
            </w:r>
          </w:p>
        </w:tc>
        <w:tc>
          <w:tcPr>
            <w:tcW w:w="6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 </w:t>
            </w:r>
            <w:bookmarkStart w:id="618" w:name="xdx_98D_ecustom--ShareBasedCompensationA"/>
            <w:bookmarkEnd w:id="618"/>
          </w:p>
        </w:tc>
        <w:tc>
          <w:tcPr>
            <w:tcW w:w="580" w:type="dxa"/>
            <w:tcBorders/>
            <w:shd w:fill="CCEEFF" w:val="clear"/>
            <w:vAlign w:val="center"/>
          </w:tcPr>
          <w:p>
            <w:pPr>
              <w:pStyle w:val="TableContents"/>
              <w:bidi w:val="0"/>
              <w:spacing w:before="0" w:after="283"/>
              <w:jc w:val="right"/>
              <w:rPr/>
            </w:pPr>
            <w:r>
              <w:rPr/>
              <w:t>7</w:t>
            </w:r>
          </w:p>
        </w:tc>
        <w:tc>
          <w:tcPr>
            <w:tcW w:w="894"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 </w:t>
            </w:r>
            <w:bookmarkStart w:id="619" w:name="xdx_98D_ecustom--ShareBasedCompensationA"/>
            <w:bookmarkEnd w:id="619"/>
          </w:p>
        </w:tc>
        <w:tc>
          <w:tcPr>
            <w:tcW w:w="591" w:type="dxa"/>
            <w:tcBorders/>
            <w:shd w:fill="CCEEFF" w:val="clear"/>
            <w:vAlign w:val="center"/>
          </w:tcPr>
          <w:p>
            <w:pPr>
              <w:pStyle w:val="TableContents"/>
              <w:bidi w:val="0"/>
              <w:spacing w:before="0" w:after="283"/>
              <w:jc w:val="right"/>
              <w:rPr/>
            </w:pPr>
            <w:r>
              <w:rPr/>
              <w:t>7</w:t>
            </w:r>
          </w:p>
        </w:tc>
        <w:tc>
          <w:tcPr>
            <w:tcW w:w="230" w:type="dxa"/>
            <w:tcBorders/>
            <w:shd w:fill="CCEEFF" w:val="clear"/>
            <w:vAlign w:val="center"/>
          </w:tcPr>
          <w:p>
            <w:pPr>
              <w:pStyle w:val="TableContents"/>
              <w:bidi w:val="0"/>
              <w:spacing w:before="0" w:after="283"/>
              <w:jc w:val="left"/>
              <w:rPr/>
            </w:pPr>
            <w:r>
              <w:rPr/>
              <w:t> </w:t>
            </w:r>
          </w:p>
        </w:tc>
      </w:tr>
      <w:tr>
        <w:trPr/>
        <w:tc>
          <w:tcPr>
            <w:tcW w:w="47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pPr>
            <w:r>
              <w:rPr/>
              <w:t> </w:t>
            </w:r>
          </w:p>
        </w:tc>
        <w:tc>
          <w:tcPr>
            <w:tcW w:w="580" w:type="dxa"/>
            <w:tcBorders/>
            <w:shd w:fill="FFFFFF" w:val="clear"/>
            <w:vAlign w:val="center"/>
          </w:tcPr>
          <w:p>
            <w:pPr>
              <w:pStyle w:val="TableContents"/>
              <w:bidi w:val="0"/>
              <w:spacing w:before="0" w:after="283"/>
              <w:jc w:val="right"/>
              <w:rPr/>
            </w:pPr>
            <w:r>
              <w:rPr/>
              <w:t> </w:t>
            </w:r>
          </w:p>
        </w:tc>
        <w:tc>
          <w:tcPr>
            <w:tcW w:w="894"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pPr>
            <w:r>
              <w:rPr/>
              <w:t> </w:t>
            </w:r>
          </w:p>
        </w:tc>
        <w:tc>
          <w:tcPr>
            <w:tcW w:w="591"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4760" w:type="dxa"/>
            <w:tcBorders/>
            <w:shd w:fill="CCEEFF" w:val="clear"/>
            <w:vAlign w:val="center"/>
          </w:tcPr>
          <w:p>
            <w:pPr>
              <w:pStyle w:val="TableContents"/>
              <w:bidi w:val="0"/>
              <w:spacing w:before="0" w:after="283"/>
              <w:jc w:val="left"/>
              <w:rPr/>
            </w:pPr>
            <w:r>
              <w:rPr/>
              <w:t>Estimated forfeitures</w:t>
            </w:r>
          </w:p>
        </w:tc>
        <w:tc>
          <w:tcPr>
            <w:tcW w:w="6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 </w:t>
            </w:r>
            <w:bookmarkStart w:id="620" w:name="xdx_98A_ecustom--ShareBasedCompensationA"/>
            <w:bookmarkEnd w:id="620"/>
          </w:p>
        </w:tc>
        <w:tc>
          <w:tcPr>
            <w:tcW w:w="580" w:type="dxa"/>
            <w:tcBorders/>
            <w:shd w:fill="CCEEFF" w:val="clear"/>
            <w:vAlign w:val="center"/>
          </w:tcPr>
          <w:p>
            <w:pPr>
              <w:pStyle w:val="TableContents"/>
              <w:bidi w:val="0"/>
              <w:spacing w:before="0" w:after="283"/>
              <w:jc w:val="right"/>
              <w:rPr/>
            </w:pPr>
            <w:r>
              <w:rPr/>
              <w:t>8</w:t>
            </w:r>
          </w:p>
        </w:tc>
        <w:tc>
          <w:tcPr>
            <w:tcW w:w="894" w:type="dxa"/>
            <w:tcBorders/>
            <w:shd w:fill="CCEEFF" w:val="clear"/>
            <w:vAlign w:val="center"/>
          </w:tcPr>
          <w:p>
            <w:pPr>
              <w:pStyle w:val="TableContents"/>
              <w:bidi w:val="0"/>
              <w:spacing w:before="0" w:after="283"/>
              <w:jc w:val="left"/>
              <w:rPr/>
            </w:pPr>
            <w:r>
              <w:rPr/>
              <w:t>%</w:t>
            </w:r>
          </w:p>
        </w:tc>
        <w:tc>
          <w:tcPr>
            <w:tcW w:w="247"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 </w:t>
            </w:r>
            <w:bookmarkStart w:id="621" w:name="xdx_984_ecustom--ShareBasedCompensationA"/>
            <w:bookmarkEnd w:id="621"/>
          </w:p>
        </w:tc>
        <w:tc>
          <w:tcPr>
            <w:tcW w:w="591" w:type="dxa"/>
            <w:tcBorders/>
            <w:shd w:fill="CCEEFF" w:val="clear"/>
            <w:vAlign w:val="center"/>
          </w:tcPr>
          <w:p>
            <w:pPr>
              <w:pStyle w:val="TableContents"/>
              <w:bidi w:val="0"/>
              <w:spacing w:before="0" w:after="283"/>
              <w:jc w:val="right"/>
              <w:rPr/>
            </w:pPr>
            <w:r>
              <w:rPr/>
              <w:t>8</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720" w:right="0" w:hanging="0"/>
        <w:jc w:val="both"/>
        <w:rPr>
          <w:caps w:val="false"/>
          <w:smallCaps w:val="false"/>
        </w:rPr>
      </w:pPr>
      <w:bookmarkStart w:id="622" w:name="xdx_8A5_zLzykbFucEaf"/>
      <w:bookmarkEnd w:id="622"/>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bookmarkStart w:id="623" w:name="xdx_8B4_zAn0fYRYnlk5"/>
      <w:bookmarkStart w:id="624" w:name="xdx_891_eus-gaap--ScheduleOfShareBasedCo"/>
      <w:bookmarkEnd w:id="623"/>
      <w:bookmarkEnd w:id="624"/>
      <w:r>
        <w:rPr>
          <w:rFonts w:ascii="Times New Roman;Times;Serif" w:hAnsi="Times New Roman;Times;Serif"/>
          <w:b w:val="false"/>
          <w:i w:val="false"/>
          <w:caps w:val="false"/>
          <w:smallCaps w:val="false"/>
          <w:sz w:val="20"/>
        </w:rPr>
        <w:t>The following table summarizes the option activity for our employees and directors during the year ended December 31, 2025:</w:t>
      </w:r>
    </w:p>
    <w:p>
      <w:pPr>
        <w:pStyle w:val="TextBody"/>
        <w:bidi w:val="0"/>
        <w:spacing w:before="0" w:after="0"/>
        <w:ind w:left="720" w:right="0" w:hanging="0"/>
        <w:jc w:val="both"/>
        <w:rPr>
          <w:caps w:val="false"/>
          <w:smallCaps w:val="false"/>
        </w:rPr>
      </w:pPr>
      <w:r>
        <w:rPr>
          <w:caps w:val="false"/>
          <w:smallCaps w:val="false"/>
        </w:rPr>
        <w:t> </w:t>
      </w:r>
    </w:p>
    <w:tbl>
      <w:tblPr>
        <w:tblW w:w="7648" w:type="dxa"/>
        <w:jc w:val="left"/>
        <w:tblInd w:w="0" w:type="dxa"/>
        <w:tblLayout w:type="fixed"/>
        <w:tblCellMar>
          <w:top w:w="0" w:type="dxa"/>
          <w:left w:w="0" w:type="dxa"/>
          <w:bottom w:w="0" w:type="dxa"/>
          <w:right w:w="0" w:type="dxa"/>
        </w:tblCellMar>
      </w:tblPr>
      <w:tblGrid>
        <w:gridCol w:w="2915"/>
        <w:gridCol w:w="60"/>
        <w:gridCol w:w="60"/>
        <w:gridCol w:w="845"/>
        <w:gridCol w:w="80"/>
        <w:gridCol w:w="60"/>
        <w:gridCol w:w="308"/>
        <w:gridCol w:w="941"/>
        <w:gridCol w:w="60"/>
        <w:gridCol w:w="60"/>
        <w:gridCol w:w="206"/>
        <w:gridCol w:w="953"/>
        <w:gridCol w:w="60"/>
        <w:gridCol w:w="60"/>
        <w:gridCol w:w="185"/>
        <w:gridCol w:w="720"/>
        <w:gridCol w:w="75"/>
      </w:tblGrid>
      <w:tr>
        <w:trPr/>
        <w:tc>
          <w:tcPr>
            <w:tcW w:w="29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9" w:type="dxa"/>
            <w:gridSpan w:val="2"/>
            <w:tcBorders/>
            <w:vAlign w:val="center"/>
          </w:tcPr>
          <w:p>
            <w:pPr>
              <w:pStyle w:val="TableContents"/>
              <w:bidi w:val="0"/>
              <w:spacing w:before="0" w:after="283"/>
              <w:jc w:val="center"/>
              <w:rPr>
                <w:b/>
                <w:sz w:val="20"/>
              </w:rPr>
            </w:pPr>
            <w:r>
              <w:rPr>
                <w:b/>
                <w:sz w:val="20"/>
              </w:rPr>
              <w:t>Weighted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9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center"/>
              <w:rPr>
                <w:b/>
                <w:sz w:val="20"/>
              </w:rPr>
            </w:pPr>
            <w:r>
              <w:rPr>
                <w:b/>
                <w:sz w:val="20"/>
              </w:rPr>
              <w:t>Weighted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9" w:type="dxa"/>
            <w:gridSpan w:val="2"/>
            <w:tcBorders/>
            <w:vAlign w:val="center"/>
          </w:tcPr>
          <w:p>
            <w:pPr>
              <w:pStyle w:val="TableContents"/>
              <w:bidi w:val="0"/>
              <w:spacing w:before="0" w:after="283"/>
              <w:jc w:val="center"/>
              <w:rPr>
                <w:b/>
                <w:sz w:val="20"/>
              </w:rPr>
            </w:pPr>
            <w:r>
              <w:rPr>
                <w:b/>
                <w:sz w:val="20"/>
              </w:rPr>
              <w:t>Average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vAlign w:val="center"/>
          </w:tcPr>
          <w:p>
            <w:pPr>
              <w:pStyle w:val="TableContents"/>
              <w:bidi w:val="0"/>
              <w:spacing w:before="0" w:after="283"/>
              <w:jc w:val="center"/>
              <w:rPr>
                <w:b/>
                <w:sz w:val="20"/>
              </w:rPr>
            </w:pPr>
            <w:r>
              <w:rPr>
                <w:b/>
                <w:sz w:val="20"/>
              </w:rPr>
              <w:t>Aggregate</w:t>
            </w:r>
          </w:p>
        </w:tc>
        <w:tc>
          <w:tcPr>
            <w:tcW w:w="75" w:type="dxa"/>
            <w:tcBorders/>
            <w:vAlign w:val="center"/>
          </w:tcPr>
          <w:p>
            <w:pPr>
              <w:pStyle w:val="TableContents"/>
              <w:bidi w:val="0"/>
              <w:spacing w:before="0" w:after="283"/>
              <w:jc w:val="left"/>
              <w:rPr/>
            </w:pPr>
            <w:r>
              <w:rPr/>
              <w:t> </w:t>
            </w:r>
          </w:p>
        </w:tc>
      </w:tr>
      <w:tr>
        <w:trPr/>
        <w:tc>
          <w:tcPr>
            <w:tcW w:w="29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center"/>
              <w:rPr>
                <w:b/>
                <w:sz w:val="20"/>
              </w:rPr>
            </w:pPr>
            <w:r>
              <w:rPr>
                <w:b/>
                <w:sz w:val="20"/>
              </w:rPr>
              <w:t>Average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9" w:type="dxa"/>
            <w:gridSpan w:val="2"/>
            <w:tcBorders/>
            <w:vAlign w:val="center"/>
          </w:tcPr>
          <w:p>
            <w:pPr>
              <w:pStyle w:val="TableContents"/>
              <w:bidi w:val="0"/>
              <w:spacing w:before="0" w:after="283"/>
              <w:jc w:val="center"/>
              <w:rPr>
                <w:b/>
                <w:sz w:val="20"/>
              </w:rPr>
            </w:pPr>
            <w:r>
              <w:rPr>
                <w:b/>
                <w:sz w:val="20"/>
              </w:rPr>
              <w:t>Remaining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vAlign w:val="center"/>
          </w:tcPr>
          <w:p>
            <w:pPr>
              <w:pStyle w:val="TableContents"/>
              <w:bidi w:val="0"/>
              <w:spacing w:before="0" w:after="283"/>
              <w:jc w:val="center"/>
              <w:rPr>
                <w:b/>
                <w:sz w:val="20"/>
              </w:rPr>
            </w:pPr>
            <w:r>
              <w:rPr>
                <w:b/>
                <w:sz w:val="20"/>
              </w:rPr>
              <w:t>Intrinsic</w:t>
            </w:r>
          </w:p>
        </w:tc>
        <w:tc>
          <w:tcPr>
            <w:tcW w:w="75" w:type="dxa"/>
            <w:tcBorders/>
            <w:vAlign w:val="center"/>
          </w:tcPr>
          <w:p>
            <w:pPr>
              <w:pStyle w:val="TableContents"/>
              <w:bidi w:val="0"/>
              <w:spacing w:before="0" w:after="283"/>
              <w:jc w:val="left"/>
              <w:rPr/>
            </w:pPr>
            <w:r>
              <w:rPr/>
              <w:t> </w:t>
            </w:r>
          </w:p>
        </w:tc>
      </w:tr>
      <w:tr>
        <w:trPr/>
        <w:tc>
          <w:tcPr>
            <w:tcW w:w="29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vAlign w:val="center"/>
          </w:tcPr>
          <w:p>
            <w:pPr>
              <w:pStyle w:val="TableContents"/>
              <w:bidi w:val="0"/>
              <w:spacing w:before="0" w:after="283"/>
              <w:jc w:val="center"/>
              <w:rPr>
                <w:b/>
                <w:sz w:val="20"/>
              </w:rPr>
            </w:pPr>
            <w:r>
              <w:rPr>
                <w:b/>
                <w:sz w:val="20"/>
              </w:rPr>
              <w:t>Shares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center"/>
              <w:rPr>
                <w:b/>
                <w:sz w:val="20"/>
              </w:rPr>
            </w:pPr>
            <w:r>
              <w:rPr>
                <w:b/>
                <w:sz w:val="20"/>
              </w:rPr>
              <w:t>Exercise 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9" w:type="dxa"/>
            <w:gridSpan w:val="2"/>
            <w:tcBorders/>
            <w:vAlign w:val="center"/>
          </w:tcPr>
          <w:p>
            <w:pPr>
              <w:pStyle w:val="TableContents"/>
              <w:bidi w:val="0"/>
              <w:spacing w:before="0" w:after="283"/>
              <w:jc w:val="center"/>
              <w:rPr>
                <w:b/>
                <w:sz w:val="20"/>
              </w:rPr>
            </w:pPr>
            <w:r>
              <w:rPr>
                <w:b/>
                <w:sz w:val="20"/>
              </w:rPr>
              <w:t>Contractual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vAlign w:val="center"/>
          </w:tcPr>
          <w:p>
            <w:pPr>
              <w:pStyle w:val="TableContents"/>
              <w:bidi w:val="0"/>
              <w:spacing w:before="0" w:after="283"/>
              <w:jc w:val="center"/>
              <w:rPr>
                <w:b/>
                <w:sz w:val="20"/>
              </w:rPr>
            </w:pPr>
            <w:r>
              <w:rPr>
                <w:b/>
                <w:sz w:val="20"/>
              </w:rPr>
              <w:t>Value</w:t>
            </w:r>
          </w:p>
        </w:tc>
        <w:tc>
          <w:tcPr>
            <w:tcW w:w="75" w:type="dxa"/>
            <w:tcBorders/>
            <w:vAlign w:val="center"/>
          </w:tcPr>
          <w:p>
            <w:pPr>
              <w:pStyle w:val="TableContents"/>
              <w:bidi w:val="0"/>
              <w:spacing w:before="0" w:after="283"/>
              <w:jc w:val="left"/>
              <w:rPr/>
            </w:pPr>
            <w:r>
              <w:rPr/>
              <w:t> </w:t>
            </w:r>
          </w:p>
        </w:tc>
      </w:tr>
      <w:tr>
        <w:trPr/>
        <w:tc>
          <w:tcPr>
            <w:tcW w:w="2915" w:type="dxa"/>
            <w:tcBorders>
              <w:bottom w:val="single" w:sz="8" w:space="0" w:color="000000"/>
            </w:tcBorders>
            <w:tcMar>
              <w:bottom w:w="28" w:type="dxa"/>
            </w:tcMar>
            <w:vAlign w:val="center"/>
          </w:tcPr>
          <w:p>
            <w:pPr>
              <w:pStyle w:val="TableContents"/>
              <w:bidi w:val="0"/>
              <w:spacing w:before="0" w:after="283"/>
              <w:jc w:val="left"/>
              <w:rPr>
                <w:b/>
                <w:sz w:val="20"/>
              </w:rPr>
            </w:pPr>
            <w:r>
              <w:rPr>
                <w:b/>
                <w:sz w:val="20"/>
              </w:rPr>
              <w:t>Options</w:t>
            </w:r>
          </w:p>
        </w:tc>
        <w:tc>
          <w:tcPr>
            <w:tcW w:w="60" w:type="dxa"/>
            <w:tcBorders/>
            <w:vAlign w:val="center"/>
          </w:tcPr>
          <w:p>
            <w:pPr>
              <w:pStyle w:val="TableContents"/>
              <w:bidi w:val="0"/>
              <w:spacing w:before="0" w:after="283"/>
              <w:jc w:val="left"/>
              <w:rPr/>
            </w:pPr>
            <w:r>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(Rounded)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per Share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9"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Term (Years)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(000s)</w:t>
            </w:r>
          </w:p>
        </w:tc>
        <w:tc>
          <w:tcPr>
            <w:tcW w:w="75" w:type="dxa"/>
            <w:tcBorders/>
            <w:vAlign w:val="center"/>
          </w:tcPr>
          <w:p>
            <w:pPr>
              <w:pStyle w:val="TableContents"/>
              <w:bidi w:val="0"/>
              <w:spacing w:before="0" w:after="283"/>
              <w:jc w:val="left"/>
              <w:rPr/>
            </w:pPr>
            <w:r>
              <w:rPr/>
              <w:t> </w:t>
            </w:r>
          </w:p>
        </w:tc>
      </w:tr>
      <w:tr>
        <w:trPr/>
        <w:tc>
          <w:tcPr>
            <w:tcW w:w="2915" w:type="dxa"/>
            <w:tcBorders/>
            <w:shd w:fill="CCEEFF" w:val="clear"/>
            <w:vAlign w:val="center"/>
          </w:tcPr>
          <w:p>
            <w:pPr>
              <w:pStyle w:val="TableContents"/>
              <w:bidi w:val="0"/>
              <w:spacing w:before="0" w:after="283"/>
              <w:jc w:val="left"/>
              <w:rPr>
                <w:sz w:val="20"/>
              </w:rPr>
            </w:pPr>
            <w:r>
              <w:rPr>
                <w:sz w:val="20"/>
              </w:rPr>
              <w:t>Outstanding on January 1,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625" w:name="xdx_98B_eus-gaap--ShareBasedCompensation"/>
            <w:bookmarkEnd w:id="625"/>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3,221,739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sz w:val="20"/>
              </w:rPr>
            </w:pPr>
            <w:r>
              <w:rPr>
                <w:sz w:val="20"/>
              </w:rPr>
              <w:t>$</w:t>
            </w:r>
            <w:bookmarkStart w:id="626" w:name="xdx_989_eus-gaap--ShareBasedCompensation"/>
            <w:bookmarkEnd w:id="626"/>
          </w:p>
        </w:tc>
        <w:tc>
          <w:tcPr>
            <w:tcW w:w="941" w:type="dxa"/>
            <w:tcBorders/>
            <w:shd w:fill="CCEEFF" w:val="clear"/>
            <w:vAlign w:val="center"/>
          </w:tcPr>
          <w:p>
            <w:pPr>
              <w:pStyle w:val="TableContents"/>
              <w:bidi w:val="0"/>
              <w:spacing w:before="0" w:after="283"/>
              <w:jc w:val="right"/>
              <w:rPr>
                <w:sz w:val="20"/>
              </w:rPr>
            </w:pPr>
            <w:r>
              <w:rPr>
                <w:sz w:val="20"/>
              </w:rPr>
              <w:t>1.47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bookmarkStart w:id="627" w:name="xdx_980_eus-gaap--SharebasedCompensation"/>
            <w:bookmarkEnd w:id="627"/>
          </w:p>
        </w:tc>
        <w:tc>
          <w:tcPr>
            <w:tcW w:w="953" w:type="dxa"/>
            <w:tcBorders/>
            <w:shd w:fill="CCEEFF" w:val="clear"/>
            <w:vAlign w:val="center"/>
          </w:tcPr>
          <w:p>
            <w:pPr>
              <w:pStyle w:val="TableContents"/>
              <w:bidi w:val="0"/>
              <w:spacing w:before="0" w:after="283"/>
              <w:jc w:val="right"/>
              <w:rPr>
                <w:sz w:val="20"/>
              </w:rPr>
            </w:pPr>
            <w:r>
              <w:rPr>
                <w:sz w:val="20"/>
              </w:rPr>
              <w:t>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sz w:val="20"/>
              </w:rPr>
            </w:pPr>
            <w:r>
              <w:rPr>
                <w:sz w:val="20"/>
              </w:rPr>
              <w:t>$</w:t>
            </w:r>
            <w:bookmarkStart w:id="628" w:name="xdx_985_eus-gaap--ShareBasedCompensation"/>
            <w:bookmarkEnd w:id="628"/>
          </w:p>
        </w:tc>
        <w:tc>
          <w:tcPr>
            <w:tcW w:w="720" w:type="dxa"/>
            <w:tcBorders/>
            <w:shd w:fill="CCEEFF" w:val="clear"/>
            <w:vAlign w:val="center"/>
          </w:tcPr>
          <w:p>
            <w:pPr>
              <w:pStyle w:val="TableContents"/>
              <w:bidi w:val="0"/>
              <w:spacing w:before="0" w:after="283"/>
              <w:jc w:val="right"/>
              <w:rPr>
                <w:sz w:val="20"/>
              </w:rPr>
            </w:pPr>
            <w:r>
              <w:rPr>
                <w:sz w:val="20"/>
              </w:rPr>
              <w:t>3,961</w:t>
            </w:r>
          </w:p>
        </w:tc>
        <w:tc>
          <w:tcPr>
            <w:tcW w:w="75" w:type="dxa"/>
            <w:tcBorders/>
            <w:shd w:fill="CCEEFF" w:val="clear"/>
            <w:vAlign w:val="center"/>
          </w:tcPr>
          <w:p>
            <w:pPr>
              <w:pStyle w:val="TableContents"/>
              <w:bidi w:val="0"/>
              <w:spacing w:before="0" w:after="283"/>
              <w:jc w:val="left"/>
              <w:rPr/>
            </w:pPr>
            <w:r>
              <w:rPr/>
              <w:t> </w:t>
            </w:r>
          </w:p>
        </w:tc>
      </w:tr>
      <w:tr>
        <w:trPr/>
        <w:tc>
          <w:tcPr>
            <w:tcW w:w="29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8" w:type="dxa"/>
            <w:tcBorders/>
            <w:vAlign w:val="center"/>
          </w:tcPr>
          <w:p>
            <w:pPr>
              <w:pStyle w:val="TableContents"/>
              <w:bidi w:val="0"/>
              <w:spacing w:before="0" w:after="283"/>
              <w:jc w:val="left"/>
              <w:rPr/>
            </w:pPr>
            <w:r>
              <w:rPr/>
              <w:t> </w:t>
            </w:r>
          </w:p>
        </w:tc>
        <w:tc>
          <w:tcPr>
            <w:tcW w:w="94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 </w:t>
            </w:r>
          </w:p>
        </w:tc>
        <w:tc>
          <w:tcPr>
            <w:tcW w:w="953"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72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915" w:type="dxa"/>
            <w:tcBorders/>
            <w:shd w:fill="CCEEFF" w:val="clear"/>
            <w:vAlign w:val="center"/>
          </w:tcPr>
          <w:p>
            <w:pPr>
              <w:pStyle w:val="TableContents"/>
              <w:bidi w:val="0"/>
              <w:spacing w:before="0" w:after="283"/>
              <w:jc w:val="left"/>
              <w:rPr>
                <w:sz w:val="20"/>
              </w:rPr>
            </w:pPr>
            <w:r>
              <w:rPr>
                <w:sz w:val="20"/>
              </w:rPr>
              <w:t>Granted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629" w:name="xdx_982_eus-gaap--ShareBasedCompensation"/>
            <w:bookmarkEnd w:id="629"/>
          </w:p>
        </w:tc>
        <w:tc>
          <w:tcPr>
            <w:tcW w:w="845" w:type="dxa"/>
            <w:tcBorders/>
            <w:shd w:fill="CCEEFF" w:val="clear"/>
            <w:vAlign w:val="center"/>
          </w:tcPr>
          <w:p>
            <w:pPr>
              <w:pStyle w:val="TableContents"/>
              <w:bidi w:val="0"/>
              <w:spacing w:before="0" w:after="283"/>
              <w:jc w:val="right"/>
              <w:rPr>
                <w:sz w:val="20"/>
              </w:rPr>
            </w:pPr>
            <w:r>
              <w:rPr>
                <w:sz w:val="20"/>
              </w:rPr>
              <w:t>106,000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sz w:val="20"/>
              </w:rPr>
            </w:pPr>
            <w:r>
              <w:rPr>
                <w:sz w:val="20"/>
              </w:rPr>
              <w:t>$</w:t>
            </w:r>
            <w:bookmarkStart w:id="630" w:name="xdx_989_eus-gaap--ShareBasedCompensation"/>
            <w:bookmarkEnd w:id="630"/>
          </w:p>
        </w:tc>
        <w:tc>
          <w:tcPr>
            <w:tcW w:w="941" w:type="dxa"/>
            <w:tcBorders/>
            <w:shd w:fill="CCEEFF" w:val="clear"/>
            <w:vAlign w:val="center"/>
          </w:tcPr>
          <w:p>
            <w:pPr>
              <w:pStyle w:val="TableContents"/>
              <w:bidi w:val="0"/>
              <w:spacing w:before="0" w:after="283"/>
              <w:jc w:val="right"/>
              <w:rPr>
                <w:sz w:val="20"/>
              </w:rPr>
            </w:pPr>
            <w:r>
              <w:rPr>
                <w:sz w:val="20"/>
              </w:rPr>
              <w:t>3.06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95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72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915" w:type="dxa"/>
            <w:tcBorders/>
            <w:vAlign w:val="center"/>
          </w:tcPr>
          <w:p>
            <w:pPr>
              <w:pStyle w:val="TableContents"/>
              <w:bidi w:val="0"/>
              <w:spacing w:before="0" w:after="283"/>
              <w:jc w:val="left"/>
              <w:rPr>
                <w:sz w:val="20"/>
              </w:rPr>
            </w:pPr>
            <w:r>
              <w:rPr>
                <w:sz w:val="20"/>
              </w:rPr>
              <w:t>Exercised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31" w:name="xdx_98C_eus-gaap--StockIssuedDuringPerio"/>
            <w:bookmarkEnd w:id="631"/>
          </w:p>
        </w:tc>
        <w:tc>
          <w:tcPr>
            <w:tcW w:w="845" w:type="dxa"/>
            <w:tcBorders/>
            <w:vAlign w:val="center"/>
          </w:tcPr>
          <w:p>
            <w:pPr>
              <w:pStyle w:val="TableContents"/>
              <w:bidi w:val="0"/>
              <w:spacing w:before="0" w:after="283"/>
              <w:jc w:val="right"/>
              <w:rPr>
                <w:sz w:val="20"/>
              </w:rPr>
            </w:pPr>
            <w:r>
              <w:rPr>
                <w:sz w:val="20"/>
              </w:rPr>
              <w:t>(510,766</w:t>
            </w:r>
          </w:p>
        </w:tc>
        <w:tc>
          <w:tcPr>
            <w:tcW w:w="80" w:type="dxa"/>
            <w:tcBorders/>
            <w:vAlign w:val="center"/>
          </w:tcPr>
          <w:p>
            <w:pPr>
              <w:pStyle w:val="TableContents"/>
              <w:bidi w:val="0"/>
              <w:spacing w:before="0" w:after="283"/>
              <w:jc w:val="left"/>
              <w:rPr>
                <w:sz w:val="20"/>
              </w:rPr>
            </w:pPr>
            <w:r>
              <w:rPr>
                <w:sz w:val="20"/>
              </w:rPr>
              <w:t>)</w:t>
            </w:r>
          </w:p>
        </w:tc>
        <w:tc>
          <w:tcPr>
            <w:tcW w:w="60" w:type="dxa"/>
            <w:tcBorders/>
            <w:vAlign w:val="center"/>
          </w:tcPr>
          <w:p>
            <w:pPr>
              <w:pStyle w:val="TableContents"/>
              <w:bidi w:val="0"/>
              <w:spacing w:before="0" w:after="283"/>
              <w:jc w:val="left"/>
              <w:rPr/>
            </w:pPr>
            <w:r>
              <w:rPr/>
              <w:t> </w:t>
            </w:r>
          </w:p>
        </w:tc>
        <w:tc>
          <w:tcPr>
            <w:tcW w:w="308" w:type="dxa"/>
            <w:tcBorders/>
            <w:vAlign w:val="center"/>
          </w:tcPr>
          <w:p>
            <w:pPr>
              <w:pStyle w:val="TableContents"/>
              <w:bidi w:val="0"/>
              <w:spacing w:before="0" w:after="283"/>
              <w:jc w:val="left"/>
              <w:rPr>
                <w:sz w:val="20"/>
              </w:rPr>
            </w:pPr>
            <w:r>
              <w:rPr>
                <w:sz w:val="20"/>
              </w:rPr>
              <w:t>$</w:t>
            </w:r>
            <w:bookmarkStart w:id="632" w:name="xdx_981_eus-gaap--ShareBasedCompensation"/>
            <w:bookmarkEnd w:id="632"/>
          </w:p>
        </w:tc>
        <w:tc>
          <w:tcPr>
            <w:tcW w:w="941" w:type="dxa"/>
            <w:tcBorders/>
            <w:vAlign w:val="center"/>
          </w:tcPr>
          <w:p>
            <w:pPr>
              <w:pStyle w:val="TableContents"/>
              <w:bidi w:val="0"/>
              <w:spacing w:before="0" w:after="283"/>
              <w:jc w:val="right"/>
              <w:rPr>
                <w:sz w:val="20"/>
              </w:rPr>
            </w:pPr>
            <w:r>
              <w:rPr>
                <w:sz w:val="20"/>
              </w:rPr>
              <w:t>0.64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 </w:t>
            </w:r>
          </w:p>
        </w:tc>
        <w:tc>
          <w:tcPr>
            <w:tcW w:w="953"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72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915" w:type="dxa"/>
            <w:tcBorders/>
            <w:shd w:fill="CCEEFF" w:val="clear"/>
            <w:vAlign w:val="center"/>
          </w:tcPr>
          <w:p>
            <w:pPr>
              <w:pStyle w:val="TableContents"/>
              <w:bidi w:val="0"/>
              <w:spacing w:before="0" w:after="283"/>
              <w:jc w:val="left"/>
              <w:rPr>
                <w:sz w:val="20"/>
              </w:rPr>
            </w:pPr>
            <w:r>
              <w:rPr>
                <w:sz w:val="20"/>
              </w:rPr>
              <w:t>Forfeited or expired</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633" w:name="xdx_98D_eus-gaap--ShareBasedCompensation"/>
            <w:bookmarkEnd w:id="633"/>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(64,500</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sz w:val="20"/>
              </w:rPr>
            </w:pPr>
            <w:r>
              <w:rPr>
                <w:sz w:val="20"/>
              </w:rPr>
              <w:t>$</w:t>
            </w:r>
            <w:bookmarkStart w:id="634" w:name="xdx_988_eus-gaap--ShareBasedCompensation"/>
            <w:bookmarkEnd w:id="634"/>
          </w:p>
        </w:tc>
        <w:tc>
          <w:tcPr>
            <w:tcW w:w="941" w:type="dxa"/>
            <w:tcBorders/>
            <w:shd w:fill="CCEEFF" w:val="clear"/>
            <w:vAlign w:val="center"/>
          </w:tcPr>
          <w:p>
            <w:pPr>
              <w:pStyle w:val="TableContents"/>
              <w:bidi w:val="0"/>
              <w:spacing w:before="0" w:after="283"/>
              <w:jc w:val="right"/>
              <w:rPr>
                <w:sz w:val="20"/>
              </w:rPr>
            </w:pPr>
            <w:r>
              <w:rPr>
                <w:sz w:val="20"/>
              </w:rPr>
              <w:t>2.03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95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72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9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8" w:type="dxa"/>
            <w:tcBorders/>
            <w:vAlign w:val="center"/>
          </w:tcPr>
          <w:p>
            <w:pPr>
              <w:pStyle w:val="TableContents"/>
              <w:bidi w:val="0"/>
              <w:spacing w:before="0" w:after="283"/>
              <w:jc w:val="left"/>
              <w:rPr/>
            </w:pPr>
            <w:r>
              <w:rPr/>
              <w:t> </w:t>
            </w:r>
          </w:p>
        </w:tc>
        <w:tc>
          <w:tcPr>
            <w:tcW w:w="94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 </w:t>
            </w:r>
          </w:p>
        </w:tc>
        <w:tc>
          <w:tcPr>
            <w:tcW w:w="953"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72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915" w:type="dxa"/>
            <w:tcBorders/>
            <w:shd w:fill="CCEEFF" w:val="clear"/>
            <w:vAlign w:val="center"/>
          </w:tcPr>
          <w:p>
            <w:pPr>
              <w:pStyle w:val="TableContents"/>
              <w:bidi w:val="0"/>
              <w:spacing w:before="0" w:after="283"/>
              <w:jc w:val="left"/>
              <w:rPr>
                <w:sz w:val="20"/>
              </w:rPr>
            </w:pPr>
            <w:r>
              <w:rPr>
                <w:sz w:val="20"/>
              </w:rPr>
              <w:t>Outstanding on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635" w:name="xdx_98B_eus-gaap--ShareBasedCompensation"/>
            <w:bookmarkEnd w:id="635"/>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2,752,473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sz w:val="20"/>
              </w:rPr>
            </w:pPr>
            <w:r>
              <w:rPr>
                <w:sz w:val="20"/>
              </w:rPr>
              <w:t>$</w:t>
            </w:r>
            <w:bookmarkStart w:id="636" w:name="xdx_98F_eus-gaap--ShareBasedCompensation"/>
            <w:bookmarkEnd w:id="636"/>
          </w:p>
        </w:tc>
        <w:tc>
          <w:tcPr>
            <w:tcW w:w="941" w:type="dxa"/>
            <w:tcBorders/>
            <w:shd w:fill="CCEEFF" w:val="clear"/>
            <w:vAlign w:val="center"/>
          </w:tcPr>
          <w:p>
            <w:pPr>
              <w:pStyle w:val="TableContents"/>
              <w:bidi w:val="0"/>
              <w:spacing w:before="0" w:after="283"/>
              <w:jc w:val="right"/>
              <w:rPr>
                <w:sz w:val="20"/>
              </w:rPr>
            </w:pPr>
            <w:r>
              <w:rPr>
                <w:sz w:val="20"/>
              </w:rPr>
              <w:t>1.67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bookmarkStart w:id="637" w:name="xdx_98C_eus-gaap--SharebasedCompensation"/>
            <w:bookmarkEnd w:id="637"/>
          </w:p>
        </w:tc>
        <w:tc>
          <w:tcPr>
            <w:tcW w:w="953" w:type="dxa"/>
            <w:tcBorders/>
            <w:shd w:fill="CCEEFF" w:val="clear"/>
            <w:vAlign w:val="center"/>
          </w:tcPr>
          <w:p>
            <w:pPr>
              <w:pStyle w:val="TableContents"/>
              <w:bidi w:val="0"/>
              <w:spacing w:before="0" w:after="283"/>
              <w:jc w:val="right"/>
              <w:rPr>
                <w:sz w:val="20"/>
              </w:rPr>
            </w:pPr>
            <w:r>
              <w:rPr>
                <w:sz w:val="20"/>
              </w:rPr>
              <w:t>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sz w:val="20"/>
              </w:rPr>
            </w:pPr>
            <w:r>
              <w:rPr>
                <w:sz w:val="20"/>
              </w:rPr>
              <w:t>$</w:t>
            </w:r>
            <w:bookmarkStart w:id="638" w:name="xdx_98A_eus-gaap--ShareBasedCompensation"/>
            <w:bookmarkEnd w:id="638"/>
          </w:p>
        </w:tc>
        <w:tc>
          <w:tcPr>
            <w:tcW w:w="720" w:type="dxa"/>
            <w:tcBorders/>
            <w:shd w:fill="CCEEFF" w:val="clear"/>
            <w:vAlign w:val="center"/>
          </w:tcPr>
          <w:p>
            <w:pPr>
              <w:pStyle w:val="TableContents"/>
              <w:bidi w:val="0"/>
              <w:spacing w:before="0" w:after="283"/>
              <w:jc w:val="right"/>
              <w:rPr>
                <w:sz w:val="20"/>
              </w:rPr>
            </w:pPr>
            <w:r>
              <w:rPr>
                <w:sz w:val="20"/>
              </w:rPr>
              <w:t>1,464</w:t>
            </w:r>
          </w:p>
        </w:tc>
        <w:tc>
          <w:tcPr>
            <w:tcW w:w="75" w:type="dxa"/>
            <w:tcBorders/>
            <w:shd w:fill="CCEEFF" w:val="clear"/>
            <w:vAlign w:val="center"/>
          </w:tcPr>
          <w:p>
            <w:pPr>
              <w:pStyle w:val="TableContents"/>
              <w:bidi w:val="0"/>
              <w:spacing w:before="0" w:after="283"/>
              <w:jc w:val="left"/>
              <w:rPr/>
            </w:pPr>
            <w:r>
              <w:rPr/>
              <w:t> </w:t>
            </w:r>
          </w:p>
        </w:tc>
      </w:tr>
      <w:tr>
        <w:trPr/>
        <w:tc>
          <w:tcPr>
            <w:tcW w:w="2915" w:type="dxa"/>
            <w:tcBorders/>
            <w:vAlign w:val="center"/>
          </w:tcPr>
          <w:p>
            <w:pPr>
              <w:pStyle w:val="TableContents"/>
              <w:bidi w:val="0"/>
              <w:spacing w:before="0" w:after="283"/>
              <w:jc w:val="left"/>
              <w:rPr>
                <w:sz w:val="20"/>
              </w:rPr>
            </w:pPr>
            <w:r>
              <w:rPr>
                <w:sz w:val="20"/>
              </w:rPr>
              <w:t>Exercisable on December 31, 2025</w:t>
            </w:r>
          </w:p>
        </w:tc>
        <w:tc>
          <w:tcPr>
            <w:tcW w:w="60" w:type="dxa"/>
            <w:tcBorders/>
            <w:vAlign w:val="center"/>
          </w:tcPr>
          <w:p>
            <w:pPr>
              <w:pStyle w:val="TableContents"/>
              <w:bidi w:val="0"/>
              <w:spacing w:before="0" w:after="283"/>
              <w:jc w:val="left"/>
              <w:rPr/>
            </w:pPr>
            <w:r>
              <w:rPr/>
              <w:t> </w:t>
            </w:r>
          </w:p>
        </w:tc>
        <w:tc>
          <w:tcPr>
            <w:tcW w:w="60" w:type="dxa"/>
            <w:tcBorders>
              <w:bottom w:val="double" w:sz="6" w:space="0" w:color="000000"/>
            </w:tcBorders>
            <w:tcMar>
              <w:bottom w:w="28" w:type="dxa"/>
            </w:tcMar>
            <w:vAlign w:val="center"/>
          </w:tcPr>
          <w:p>
            <w:pPr>
              <w:pStyle w:val="TableContents"/>
              <w:bidi w:val="0"/>
              <w:spacing w:before="0" w:after="283"/>
              <w:jc w:val="left"/>
              <w:rPr/>
            </w:pPr>
            <w:r>
              <w:rPr/>
              <w:t> </w:t>
            </w:r>
            <w:bookmarkStart w:id="639" w:name="xdx_98F_eus-gaap--ShareBasedCompensation"/>
            <w:bookmarkEnd w:id="639"/>
          </w:p>
        </w:tc>
        <w:tc>
          <w:tcPr>
            <w:tcW w:w="845" w:type="dxa"/>
            <w:tcBorders>
              <w:bottom w:val="double" w:sz="6" w:space="0" w:color="000000"/>
            </w:tcBorders>
            <w:tcMar>
              <w:bottom w:w="28" w:type="dxa"/>
            </w:tcMar>
            <w:vAlign w:val="center"/>
          </w:tcPr>
          <w:p>
            <w:pPr>
              <w:pStyle w:val="TableContents"/>
              <w:bidi w:val="0"/>
              <w:spacing w:before="0" w:after="283"/>
              <w:jc w:val="right"/>
              <w:rPr>
                <w:sz w:val="20"/>
              </w:rPr>
            </w:pPr>
            <w:r>
              <w:rPr>
                <w:sz w:val="20"/>
              </w:rPr>
              <w:t>2,206,050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8" w:type="dxa"/>
            <w:tcBorders/>
            <w:vAlign w:val="center"/>
          </w:tcPr>
          <w:p>
            <w:pPr>
              <w:pStyle w:val="TableContents"/>
              <w:bidi w:val="0"/>
              <w:spacing w:before="0" w:after="283"/>
              <w:jc w:val="left"/>
              <w:rPr>
                <w:sz w:val="20"/>
              </w:rPr>
            </w:pPr>
            <w:r>
              <w:rPr>
                <w:sz w:val="20"/>
              </w:rPr>
              <w:t>$</w:t>
            </w:r>
            <w:bookmarkStart w:id="640" w:name="xdx_98C_eus-gaap--ShareBasedCompensation"/>
            <w:bookmarkEnd w:id="640"/>
          </w:p>
        </w:tc>
        <w:tc>
          <w:tcPr>
            <w:tcW w:w="941" w:type="dxa"/>
            <w:tcBorders/>
            <w:vAlign w:val="center"/>
          </w:tcPr>
          <w:p>
            <w:pPr>
              <w:pStyle w:val="TableContents"/>
              <w:bidi w:val="0"/>
              <w:spacing w:before="0" w:after="283"/>
              <w:jc w:val="right"/>
              <w:rPr>
                <w:sz w:val="20"/>
              </w:rPr>
            </w:pPr>
            <w:r>
              <w:rPr>
                <w:sz w:val="20"/>
              </w:rPr>
              <w:t>1.62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 </w:t>
            </w:r>
            <w:bookmarkStart w:id="641" w:name="xdx_98C_eus-gaap--SharebasedCompensation"/>
            <w:bookmarkEnd w:id="641"/>
          </w:p>
        </w:tc>
        <w:tc>
          <w:tcPr>
            <w:tcW w:w="953" w:type="dxa"/>
            <w:tcBorders/>
            <w:vAlign w:val="center"/>
          </w:tcPr>
          <w:p>
            <w:pPr>
              <w:pStyle w:val="TableContents"/>
              <w:bidi w:val="0"/>
              <w:spacing w:before="0" w:after="283"/>
              <w:jc w:val="right"/>
              <w:rPr>
                <w:sz w:val="20"/>
              </w:rPr>
            </w:pPr>
            <w:r>
              <w:rPr>
                <w:sz w:val="20"/>
              </w:rPr>
              <w:t>3.3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20"/>
              </w:rPr>
            </w:pPr>
            <w:r>
              <w:rPr>
                <w:sz w:val="20"/>
              </w:rPr>
              <w:t>$</w:t>
            </w:r>
            <w:bookmarkStart w:id="642" w:name="xdx_981_eus-gaap--SharebasedCompensation"/>
            <w:bookmarkEnd w:id="642"/>
          </w:p>
        </w:tc>
        <w:tc>
          <w:tcPr>
            <w:tcW w:w="720" w:type="dxa"/>
            <w:tcBorders/>
            <w:vAlign w:val="center"/>
          </w:tcPr>
          <w:p>
            <w:pPr>
              <w:pStyle w:val="TableContents"/>
              <w:bidi w:val="0"/>
              <w:spacing w:before="0" w:after="283"/>
              <w:jc w:val="right"/>
              <w:rPr>
                <w:sz w:val="20"/>
              </w:rPr>
            </w:pPr>
            <w:r>
              <w:rPr>
                <w:sz w:val="20"/>
              </w:rPr>
              <w:t>1,279</w:t>
            </w:r>
          </w:p>
        </w:tc>
        <w:tc>
          <w:tcPr>
            <w:tcW w:w="75" w:type="dxa"/>
            <w:tcBorders/>
            <w:vAlign w:val="center"/>
          </w:tcPr>
          <w:p>
            <w:pPr>
              <w:pStyle w:val="TableContents"/>
              <w:bidi w:val="0"/>
              <w:spacing w:before="0" w:after="283"/>
              <w:jc w:val="left"/>
              <w:rPr/>
            </w:pPr>
            <w:r>
              <w:rPr/>
              <w:t> </w:t>
            </w:r>
          </w:p>
        </w:tc>
      </w:tr>
      <w:tr>
        <w:trPr/>
        <w:tc>
          <w:tcPr>
            <w:tcW w:w="29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 </w:t>
            </w:r>
          </w:p>
        </w:tc>
        <w:tc>
          <w:tcPr>
            <w:tcW w:w="94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95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72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915" w:type="dxa"/>
            <w:tcBorders/>
            <w:vAlign w:val="center"/>
          </w:tcPr>
          <w:p>
            <w:pPr>
              <w:pStyle w:val="TableContents"/>
              <w:bidi w:val="0"/>
              <w:spacing w:before="0" w:after="283"/>
              <w:jc w:val="left"/>
              <w:rPr>
                <w:sz w:val="20"/>
              </w:rPr>
            </w:pPr>
            <w:r>
              <w:rPr>
                <w:sz w:val="20"/>
              </w:rPr>
              <w:t>Shares available for grant</w:t>
            </w:r>
          </w:p>
        </w:tc>
        <w:tc>
          <w:tcPr>
            <w:tcW w:w="60" w:type="dxa"/>
            <w:tcBorders/>
            <w:vAlign w:val="center"/>
          </w:tcPr>
          <w:p>
            <w:pPr>
              <w:pStyle w:val="TableContents"/>
              <w:bidi w:val="0"/>
              <w:spacing w:before="0" w:after="283"/>
              <w:jc w:val="left"/>
              <w:rPr/>
            </w:pPr>
            <w:r>
              <w:rPr/>
              <w:t> </w:t>
            </w:r>
          </w:p>
        </w:tc>
        <w:tc>
          <w:tcPr>
            <w:tcW w:w="60" w:type="dxa"/>
            <w:tcBorders>
              <w:bottom w:val="double" w:sz="6" w:space="0" w:color="000000"/>
            </w:tcBorders>
            <w:tcMar>
              <w:bottom w:w="28" w:type="dxa"/>
            </w:tcMar>
            <w:vAlign w:val="center"/>
          </w:tcPr>
          <w:p>
            <w:pPr>
              <w:pStyle w:val="TableContents"/>
              <w:bidi w:val="0"/>
              <w:spacing w:before="0" w:after="283"/>
              <w:jc w:val="left"/>
              <w:rPr/>
            </w:pPr>
            <w:r>
              <w:rPr/>
              <w:t> </w:t>
            </w:r>
            <w:bookmarkStart w:id="643" w:name="xdx_988_eus-gaap--ShareBasedCompensation"/>
            <w:bookmarkEnd w:id="643"/>
          </w:p>
        </w:tc>
        <w:tc>
          <w:tcPr>
            <w:tcW w:w="845" w:type="dxa"/>
            <w:tcBorders>
              <w:bottom w:val="double" w:sz="6" w:space="0" w:color="000000"/>
            </w:tcBorders>
            <w:tcMar>
              <w:bottom w:w="28" w:type="dxa"/>
            </w:tcMar>
            <w:vAlign w:val="center"/>
          </w:tcPr>
          <w:p>
            <w:pPr>
              <w:pStyle w:val="TableContents"/>
              <w:bidi w:val="0"/>
              <w:spacing w:before="0" w:after="283"/>
              <w:jc w:val="right"/>
              <w:rPr>
                <w:sz w:val="20"/>
              </w:rPr>
            </w:pPr>
            <w:r>
              <w:rPr>
                <w:sz w:val="20"/>
              </w:rPr>
              <w:t>2,956,900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8" w:type="dxa"/>
            <w:tcBorders/>
            <w:vAlign w:val="center"/>
          </w:tcPr>
          <w:p>
            <w:pPr>
              <w:pStyle w:val="TableContents"/>
              <w:bidi w:val="0"/>
              <w:spacing w:before="0" w:after="283"/>
              <w:jc w:val="left"/>
              <w:rPr/>
            </w:pPr>
            <w:r>
              <w:rPr/>
              <w:t> </w:t>
            </w:r>
          </w:p>
        </w:tc>
        <w:tc>
          <w:tcPr>
            <w:tcW w:w="94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 </w:t>
            </w:r>
          </w:p>
        </w:tc>
        <w:tc>
          <w:tcPr>
            <w:tcW w:w="953"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72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bookmarkStart w:id="644" w:name="xdx_8AB_zw19hDjZPEn5"/>
      <w:bookmarkEnd w:id="644"/>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F-18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bookmarkStart w:id="645" w:name="xdx_8B8_zpFXaSwXeoe9"/>
      <w:bookmarkStart w:id="646" w:name="xdx_89C_ecustom--StockOptionsRecognizedT"/>
      <w:bookmarkEnd w:id="645"/>
      <w:bookmarkEnd w:id="646"/>
      <w:r>
        <w:rPr>
          <w:rFonts w:ascii="Times New Roman;Times;Serif" w:hAnsi="Times New Roman;Times;Serif"/>
          <w:b w:val="false"/>
          <w:i w:val="false"/>
          <w:caps w:val="false"/>
          <w:smallCaps w:val="false"/>
          <w:sz w:val="20"/>
        </w:rPr>
        <w:t>The aggregate intrinsic value in the table above is based on our closing stock price of $1.66 on the last business day for the year ended December 31, 2025.</w:t>
      </w:r>
    </w:p>
    <w:p>
      <w:pPr>
        <w:pStyle w:val="TextBody"/>
        <w:bidi w:val="0"/>
        <w:spacing w:before="0" w:after="0"/>
        <w:ind w:left="0" w:right="0" w:firstLine="720"/>
        <w:jc w:val="both"/>
        <w:rPr>
          <w:caps w:val="false"/>
          <w:smallCaps w:val="false"/>
        </w:rPr>
      </w:pPr>
      <w:r>
        <w:rPr>
          <w:caps w:val="false"/>
          <w:smallCaps w:val="false"/>
        </w:rPr>
        <w:t> </w:t>
      </w:r>
    </w:p>
    <w:tbl>
      <w:tblPr>
        <w:tblW w:w="4045" w:type="dxa"/>
        <w:jc w:val="left"/>
        <w:tblInd w:w="0" w:type="dxa"/>
        <w:tblLayout w:type="fixed"/>
        <w:tblCellMar>
          <w:top w:w="0" w:type="dxa"/>
          <w:left w:w="0" w:type="dxa"/>
          <w:bottom w:w="0" w:type="dxa"/>
          <w:right w:w="0" w:type="dxa"/>
        </w:tblCellMar>
      </w:tblPr>
      <w:tblGrid>
        <w:gridCol w:w="1910"/>
        <w:gridCol w:w="60"/>
        <w:gridCol w:w="140"/>
        <w:gridCol w:w="800"/>
        <w:gridCol w:w="60"/>
        <w:gridCol w:w="60"/>
        <w:gridCol w:w="140"/>
        <w:gridCol w:w="800"/>
        <w:gridCol w:w="75"/>
      </w:tblGrid>
      <w:tr>
        <w:trPr/>
        <w:tc>
          <w:tcPr>
            <w:tcW w:w="19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center"/>
              <w:rPr/>
            </w:pPr>
            <w:r>
              <w:rPr/>
              <w:t> </w:t>
            </w:r>
            <w:bookmarkStart w:id="647" w:name="xdx_49B_20250101__20251231__us-gaap--Awa"/>
            <w:bookmarkEnd w:id="647"/>
          </w:p>
        </w:tc>
        <w:tc>
          <w:tcPr>
            <w:tcW w:w="800" w:type="dxa"/>
            <w:tcBorders>
              <w:bottom w:val="single" w:sz="8" w:space="0" w:color="000000"/>
            </w:tcBorders>
            <w:tcMar>
              <w:bottom w:w="28" w:type="dxa"/>
            </w:tcMar>
            <w:vAlign w:val="center"/>
          </w:tcPr>
          <w:p>
            <w:pPr>
              <w:pStyle w:val="TableContents"/>
              <w:bidi w:val="0"/>
              <w:spacing w:before="0" w:after="283"/>
              <w:jc w:val="center"/>
              <w:rPr/>
            </w:pPr>
            <w:r>
              <w:rPr/>
              <w:t> </w:t>
            </w:r>
          </w:p>
        </w:tc>
        <w:tc>
          <w:tcPr>
            <w:tcW w:w="60" w:type="dxa"/>
            <w:tcBorders>
              <w:bottom w:val="single" w:sz="8" w:space="0" w:color="000000"/>
            </w:tcBorders>
            <w:tcMar>
              <w:bottom w:w="28" w:type="dxa"/>
            </w:tcMar>
            <w:vAlign w:val="center"/>
          </w:tcPr>
          <w:p>
            <w:pPr>
              <w:pStyle w:val="TableContents"/>
              <w:bidi w:val="0"/>
              <w:spacing w:before="0" w:after="283"/>
              <w:jc w:val="center"/>
              <w:rPr/>
            </w:pPr>
            <w:r>
              <w:rPr/>
              <w:t> </w:t>
            </w:r>
            <w:bookmarkStart w:id="648" w:name="xdx_498_20240101__20241231__us-gaap--Awa"/>
            <w:bookmarkEnd w:id="648"/>
          </w:p>
        </w:tc>
        <w:tc>
          <w:tcPr>
            <w:tcW w:w="1000" w:type="dxa"/>
            <w:gridSpan w:val="3"/>
            <w:tcBorders>
              <w:bottom w:val="single" w:sz="8" w:space="0" w:color="000000"/>
            </w:tcBorders>
            <w:tcMar>
              <w:bottom w:w="28" w:type="dxa"/>
            </w:tcMar>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19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00"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Years ended </w:t>
            </w:r>
            <w:r>
              <w:rPr>
                <w:rFonts w:ascii="Times New Roman;Times;Serif" w:hAnsi="Times New Roman;Times;Serif"/>
                <w:b w:val="false"/>
                <w:i w:val="false"/>
                <w:caps w:val="false"/>
                <w:smallCaps w:val="false"/>
                <w:sz w:val="20"/>
              </w:rPr>
              <w: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tc>
        <w:tc>
          <w:tcPr>
            <w:tcW w:w="75" w:type="dxa"/>
            <w:tcBorders/>
            <w:vAlign w:val="center"/>
          </w:tcPr>
          <w:p>
            <w:pPr>
              <w:pStyle w:val="TableContents"/>
              <w:bidi w:val="0"/>
              <w:spacing w:before="0" w:after="283"/>
              <w:jc w:val="left"/>
              <w:rPr/>
            </w:pPr>
            <w:r>
              <w:rPr/>
              <w:t> </w:t>
            </w:r>
          </w:p>
        </w:tc>
      </w:tr>
      <w:tr>
        <w:trPr/>
        <w:tc>
          <w:tcPr>
            <w:tcW w:w="19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bookmarkStart w:id="649" w:name="xdx_408_eus-gaap--StockIssuedDuringPerio"/>
            <w:bookmarkEnd w:id="649"/>
          </w:p>
        </w:tc>
      </w:tr>
      <w:tr>
        <w:trPr/>
        <w:tc>
          <w:tcPr>
            <w:tcW w:w="1910" w:type="dxa"/>
            <w:tcBorders/>
            <w:shd w:fill="CCEEFF" w:val="clear"/>
            <w:vAlign w:val="center"/>
          </w:tcPr>
          <w:p>
            <w:pPr>
              <w:pStyle w:val="TableContents"/>
              <w:bidi w:val="0"/>
              <w:spacing w:before="0" w:after="283"/>
              <w:jc w:val="left"/>
              <w:rPr/>
            </w:pPr>
            <w:r>
              <w:rPr/>
              <w:t>Shares exercised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510,766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455,995</w:t>
            </w:r>
          </w:p>
        </w:tc>
        <w:tc>
          <w:tcPr>
            <w:tcW w:w="75" w:type="dxa"/>
            <w:tcBorders/>
            <w:shd w:fill="CCEEFF" w:val="clear"/>
            <w:vAlign w:val="center"/>
          </w:tcPr>
          <w:p>
            <w:pPr>
              <w:pStyle w:val="TableContents"/>
              <w:bidi w:val="0"/>
              <w:spacing w:before="0" w:after="283"/>
              <w:jc w:val="left"/>
              <w:rPr/>
            </w:pPr>
            <w:r>
              <w:rPr/>
              <w:t> </w:t>
            </w:r>
            <w:bookmarkStart w:id="650" w:name="xdx_40D_eus-gaap--ShareBasedCompensation"/>
            <w:bookmarkEnd w:id="650"/>
          </w:p>
        </w:tc>
      </w:tr>
      <w:tr>
        <w:trPr/>
        <w:tc>
          <w:tcPr>
            <w:tcW w:w="1910" w:type="dxa"/>
            <w:tcBorders/>
            <w:shd w:fill="FFFFFF" w:val="clear"/>
            <w:vAlign w:val="center"/>
          </w:tcPr>
          <w:p>
            <w:pPr>
              <w:pStyle w:val="TableContents"/>
              <w:bidi w:val="0"/>
              <w:spacing w:before="0" w:after="283"/>
              <w:jc w:val="left"/>
              <w:rPr/>
            </w:pPr>
            <w:r>
              <w:rPr/>
              <w:t>Total intrinsic value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00" w:type="dxa"/>
            <w:tcBorders/>
            <w:shd w:fill="FFFFFF" w:val="clear"/>
            <w:vAlign w:val="center"/>
          </w:tcPr>
          <w:p>
            <w:pPr>
              <w:pStyle w:val="TableContents"/>
              <w:bidi w:val="0"/>
              <w:spacing w:before="0" w:after="283"/>
              <w:jc w:val="right"/>
              <w:rPr/>
            </w:pPr>
            <w:r>
              <w:rPr/>
              <w:t>1,596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00" w:type="dxa"/>
            <w:tcBorders/>
            <w:shd w:fill="FFFFFF" w:val="clear"/>
            <w:vAlign w:val="center"/>
          </w:tcPr>
          <w:p>
            <w:pPr>
              <w:pStyle w:val="TableContents"/>
              <w:bidi w:val="0"/>
              <w:spacing w:before="0" w:after="283"/>
              <w:jc w:val="right"/>
              <w:rPr/>
            </w:pPr>
            <w:r>
              <w:rPr/>
              <w:t>370</w:t>
            </w:r>
          </w:p>
        </w:tc>
        <w:tc>
          <w:tcPr>
            <w:tcW w:w="75" w:type="dxa"/>
            <w:tcBorders/>
            <w:shd w:fill="FFFFFF" w:val="clear"/>
            <w:vAlign w:val="center"/>
          </w:tcPr>
          <w:p>
            <w:pPr>
              <w:pStyle w:val="TableContents"/>
              <w:bidi w:val="0"/>
              <w:spacing w:before="0" w:after="283"/>
              <w:jc w:val="left"/>
              <w:rPr/>
            </w:pPr>
            <w:r>
              <w:rPr/>
              <w:t> </w:t>
            </w:r>
            <w:bookmarkStart w:id="651" w:name="xdx_40C_eus-gaap--ProceedsFromStockOptio"/>
            <w:bookmarkEnd w:id="651"/>
          </w:p>
        </w:tc>
      </w:tr>
      <w:tr>
        <w:trPr/>
        <w:tc>
          <w:tcPr>
            <w:tcW w:w="1910" w:type="dxa"/>
            <w:tcBorders/>
            <w:shd w:fill="CCEEFF" w:val="clear"/>
            <w:vAlign w:val="center"/>
          </w:tcPr>
          <w:p>
            <w:pPr>
              <w:pStyle w:val="TableContents"/>
              <w:bidi w:val="0"/>
              <w:spacing w:before="0" w:after="283"/>
              <w:jc w:val="left"/>
              <w:rPr/>
            </w:pPr>
            <w:r>
              <w:rPr/>
              <w:t>Cash received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323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239</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bookmarkStart w:id="652" w:name="xdx_8A6_zetNQgJUzjM"/>
      <w:bookmarkEnd w:id="652"/>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our election of the “with and without” approach, no realized tax benefits from stock options were recognized for the years ended December 31, 2025 and 2024.</w:t>
      </w:r>
    </w:p>
    <w:p>
      <w:pPr>
        <w:pStyle w:val="TextBody"/>
        <w:bidi w:val="0"/>
        <w:spacing w:before="0" w:after="0"/>
        <w:ind w:left="0" w:right="0" w:firstLine="720"/>
        <w:jc w:val="both"/>
        <w:rPr>
          <w:caps w:val="false"/>
          <w:smallCaps w:val="false"/>
        </w:rPr>
      </w:pPr>
      <w:bookmarkStart w:id="653" w:name="xdx_81D_zmxOrWtKp0K4"/>
      <w:bookmarkEnd w:id="653"/>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54" w:name="xdx_808_eus-gaap--PensionAndOtherPostret"/>
      <w:bookmarkEnd w:id="654"/>
      <w:r>
        <w:rPr>
          <w:rFonts w:ascii="Times New Roman;Times;Serif" w:hAnsi="Times New Roman;Times;Serif"/>
          <w:b/>
          <w:i w:val="false"/>
          <w:caps w:val="false"/>
          <w:smallCaps w:val="false"/>
          <w:sz w:val="20"/>
        </w:rPr>
        <w:t xml:space="preserve">(11) </w:t>
      </w:r>
      <w:bookmarkStart w:id="655" w:name="xdx_823_zouuXgl1ClNf"/>
      <w:bookmarkEnd w:id="655"/>
      <w:r>
        <w:rPr>
          <w:rFonts w:ascii="Times New Roman;Times;Serif" w:hAnsi="Times New Roman;Times;Serif"/>
          <w:b/>
          <w:i w:val="false"/>
          <w:caps w:val="false"/>
          <w:smallCaps w:val="false"/>
          <w:sz w:val="20"/>
        </w:rPr>
        <w:t>401(k) Profit-Sharing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 401(k) profit-sharing plan covering substantially all employees who meet defined service requirements. Contributions made in 2025 and 2024 aggregated to $</w:t>
      </w:r>
      <w:bookmarkStart w:id="656" w:name="xdx_903_eus-gaap--DefinedContributionPla"/>
      <w:bookmarkEnd w:id="656"/>
      <w:r>
        <w:rPr>
          <w:rFonts w:ascii="Times New Roman;Times;Serif" w:hAnsi="Times New Roman;Times;Serif"/>
          <w:b w:val="false"/>
          <w:i w:val="false"/>
          <w:caps w:val="false"/>
          <w:smallCaps w:val="false"/>
          <w:sz w:val="20"/>
        </w:rPr>
        <w:t>259 and $</w:t>
      </w:r>
      <w:bookmarkStart w:id="657" w:name="xdx_90E_eus-gaap--DefinedContributionPla"/>
      <w:bookmarkEnd w:id="657"/>
      <w:r>
        <w:rPr>
          <w:rFonts w:ascii="Times New Roman;Times;Serif" w:hAnsi="Times New Roman;Times;Serif"/>
          <w:b w:val="false"/>
          <w:i w:val="false"/>
          <w:caps w:val="false"/>
          <w:smallCaps w:val="false"/>
          <w:sz w:val="20"/>
        </w:rPr>
        <w:t>206, respectively.</w:t>
      </w:r>
    </w:p>
    <w:p>
      <w:pPr>
        <w:pStyle w:val="TextBody"/>
        <w:bidi w:val="0"/>
        <w:spacing w:before="0" w:after="0"/>
        <w:ind w:left="0" w:right="0" w:firstLine="720"/>
        <w:jc w:val="both"/>
        <w:rPr>
          <w:caps w:val="false"/>
          <w:smallCaps w:val="false"/>
        </w:rPr>
      </w:pPr>
      <w:bookmarkStart w:id="658" w:name="xdx_811_za7gmwHOOn2f"/>
      <w:bookmarkEnd w:id="658"/>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59" w:name="xdx_800_eus-gaap--ConcentrationRiskDiscl"/>
      <w:bookmarkEnd w:id="659"/>
      <w:r>
        <w:rPr>
          <w:rFonts w:ascii="Times New Roman;Times;Serif" w:hAnsi="Times New Roman;Times;Serif"/>
          <w:b/>
          <w:i w:val="false"/>
          <w:caps w:val="false"/>
          <w:smallCaps w:val="false"/>
          <w:sz w:val="20"/>
        </w:rPr>
        <w:t xml:space="preserve">(12) </w:t>
      </w:r>
      <w:bookmarkStart w:id="660" w:name="xdx_827_zAQZ0U4klR09"/>
      <w:bookmarkEnd w:id="660"/>
      <w:r>
        <w:rPr>
          <w:rFonts w:ascii="Times New Roman;Times;Serif" w:hAnsi="Times New Roman;Times;Serif"/>
          <w:b/>
          <w:i w:val="false"/>
          <w:caps w:val="false"/>
          <w:smallCaps w:val="false"/>
          <w:sz w:val="20"/>
        </w:rPr>
        <w:t>Significant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bookmarkStart w:id="661" w:name="xdx_890_eus-gaap--SchedulesOfConcentrati"/>
      <w:bookmarkEnd w:id="661"/>
      <w:r>
        <w:rPr>
          <w:rFonts w:ascii="Times New Roman;Times;Serif" w:hAnsi="Times New Roman;Times;Serif"/>
          <w:b w:val="false"/>
          <w:i w:val="false"/>
          <w:caps w:val="false"/>
          <w:smallCaps w:val="false"/>
          <w:sz w:val="20"/>
        </w:rPr>
        <w:t>We had three significant customers for the year ended December 31,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bookmarkStart w:id="662" w:name="xdx_8B9_zKaCtyuermx1"/>
      <w:bookmarkEnd w:id="662"/>
      <w:r>
        <w:rPr>
          <w:rFonts w:ascii="Times New Roman;Times;Serif" w:hAnsi="Times New Roman;Times;Serif"/>
          <w:b w:val="false"/>
          <w:i w:val="false"/>
          <w:caps w:val="false"/>
          <w:smallCaps w:val="false"/>
          <w:sz w:val="20"/>
        </w:rPr>
        <w:t>Revenues from these three customers, as a percentage of total Company revenue, was approximately:</w:t>
      </w:r>
    </w:p>
    <w:p>
      <w:pPr>
        <w:pStyle w:val="TextBody"/>
        <w:bidi w:val="0"/>
        <w:spacing w:before="0" w:after="0"/>
        <w:ind w:left="0" w:right="0" w:firstLine="720"/>
        <w:jc w:val="both"/>
        <w:rPr>
          <w:caps w:val="false"/>
          <w:smallCaps w:val="false"/>
        </w:rPr>
      </w:pPr>
      <w:r>
        <w:rPr>
          <w:caps w:val="false"/>
          <w:smallCaps w:val="false"/>
        </w:rPr>
        <w:t> </w:t>
      </w:r>
    </w:p>
    <w:tbl>
      <w:tblPr>
        <w:tblW w:w="6124" w:type="dxa"/>
        <w:jc w:val="left"/>
        <w:tblInd w:w="0" w:type="dxa"/>
        <w:tblLayout w:type="fixed"/>
        <w:tblCellMar>
          <w:top w:w="0" w:type="dxa"/>
          <w:left w:w="0" w:type="dxa"/>
          <w:bottom w:w="0" w:type="dxa"/>
          <w:right w:w="0" w:type="dxa"/>
        </w:tblCellMar>
      </w:tblPr>
      <w:tblGrid>
        <w:gridCol w:w="1220"/>
        <w:gridCol w:w="60"/>
        <w:gridCol w:w="60"/>
        <w:gridCol w:w="2450"/>
        <w:gridCol w:w="60"/>
        <w:gridCol w:w="134"/>
        <w:gridCol w:w="581"/>
        <w:gridCol w:w="480"/>
        <w:gridCol w:w="134"/>
        <w:gridCol w:w="134"/>
        <w:gridCol w:w="581"/>
        <w:gridCol w:w="230"/>
      </w:tblGrid>
      <w:tr>
        <w:trPr/>
        <w:tc>
          <w:tcPr>
            <w:tcW w:w="12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044" w:type="dxa"/>
            <w:gridSpan w:val="6"/>
            <w:tcBorders/>
            <w:vAlign w:val="center"/>
          </w:tcPr>
          <w:p>
            <w:pPr>
              <w:pStyle w:val="TableContents"/>
              <w:bidi w:val="0"/>
              <w:spacing w:before="0" w:after="283"/>
              <w:jc w:val="center"/>
              <w:rPr>
                <w:b/>
              </w:rPr>
            </w:pPr>
            <w:r>
              <w:rPr>
                <w:b/>
              </w:rPr>
              <w:t>For the years ended</w:t>
            </w:r>
          </w:p>
        </w:tc>
        <w:tc>
          <w:tcPr>
            <w:tcW w:w="230" w:type="dxa"/>
            <w:tcBorders/>
            <w:vAlign w:val="center"/>
          </w:tcPr>
          <w:p>
            <w:pPr>
              <w:pStyle w:val="TableContents"/>
              <w:bidi w:val="0"/>
              <w:spacing w:before="0" w:after="283"/>
              <w:jc w:val="left"/>
              <w:rPr/>
            </w:pPr>
            <w:r>
              <w:rPr/>
              <w:t> </w:t>
            </w:r>
          </w:p>
        </w:tc>
      </w:tr>
      <w:tr>
        <w:trPr/>
        <w:tc>
          <w:tcPr>
            <w:tcW w:w="12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044" w:type="dxa"/>
            <w:gridSpan w:val="6"/>
            <w:tcBorders/>
            <w:vAlign w:val="center"/>
          </w:tcPr>
          <w:p>
            <w:pPr>
              <w:pStyle w:val="TableContents"/>
              <w:bidi w:val="0"/>
              <w:spacing w:before="0" w:after="283"/>
              <w:jc w:val="center"/>
              <w:rPr>
                <w:b/>
              </w:rPr>
            </w:pPr>
            <w:r>
              <w:rPr>
                <w:b/>
              </w:rPr>
              <w:t>December 31,</w:t>
            </w:r>
          </w:p>
        </w:tc>
        <w:tc>
          <w:tcPr>
            <w:tcW w:w="230" w:type="dxa"/>
            <w:tcBorders/>
            <w:vAlign w:val="center"/>
          </w:tcPr>
          <w:p>
            <w:pPr>
              <w:pStyle w:val="TableContents"/>
              <w:bidi w:val="0"/>
              <w:spacing w:before="0" w:after="283"/>
              <w:jc w:val="left"/>
              <w:rPr/>
            </w:pPr>
            <w:r>
              <w:rPr/>
              <w:t> </w:t>
            </w:r>
          </w:p>
        </w:tc>
      </w:tr>
      <w:tr>
        <w:trPr/>
        <w:tc>
          <w:tcPr>
            <w:tcW w:w="1220" w:type="dxa"/>
            <w:tcBorders>
              <w:bottom w:val="single" w:sz="8" w:space="0" w:color="000000"/>
            </w:tcBorders>
            <w:tcMar>
              <w:bottom w:w="28" w:type="dxa"/>
            </w:tcMar>
            <w:vAlign w:val="center"/>
          </w:tcPr>
          <w:p>
            <w:pPr>
              <w:pStyle w:val="TableContents"/>
              <w:bidi w:val="0"/>
              <w:spacing w:before="0" w:after="283"/>
              <w:jc w:val="center"/>
              <w:rPr>
                <w:b/>
              </w:rPr>
            </w:pPr>
            <w:r>
              <w:rPr>
                <w:b/>
              </w:rPr>
              <w:t>Customer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2450" w:type="dxa"/>
            <w:tcBorders>
              <w:bottom w:val="single" w:sz="8" w:space="0" w:color="000000"/>
            </w:tcBorders>
            <w:tcMar>
              <w:bottom w:w="28" w:type="dxa"/>
            </w:tcMar>
            <w:vAlign w:val="center"/>
          </w:tcPr>
          <w:p>
            <w:pPr>
              <w:pStyle w:val="TableContents"/>
              <w:bidi w:val="0"/>
              <w:spacing w:before="0" w:after="283"/>
              <w:jc w:val="left"/>
              <w:rPr>
                <w:b/>
              </w:rPr>
            </w:pPr>
            <w:r>
              <w:rPr>
                <w:b/>
              </w:rPr>
              <w:t>Product</w:t>
              <w:br/>
              <w:t>Category</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480" w:type="dxa"/>
            <w:tcBorders>
              <w:bottom w:val="single" w:sz="8" w:space="0" w:color="000000"/>
            </w:tcBorders>
            <w:tcMar>
              <w:bottom w:w="28" w:type="dxa"/>
            </w:tcMar>
            <w:vAlign w:val="center"/>
          </w:tcPr>
          <w:p>
            <w:pPr>
              <w:pStyle w:val="TableContents"/>
              <w:bidi w:val="0"/>
              <w:spacing w:before="0" w:after="283"/>
              <w:jc w:val="left"/>
              <w:rPr/>
            </w:pPr>
            <w:r>
              <w:rPr/>
              <w:t> </w:t>
            </w:r>
          </w:p>
        </w:tc>
        <w:tc>
          <w:tcPr>
            <w:tcW w:w="134" w:type="dxa"/>
            <w:tcBorders>
              <w:bottom w:val="single" w:sz="8" w:space="0" w:color="000000"/>
            </w:tcBorders>
            <w:tcMar>
              <w:bottom w:w="28" w:type="dxa"/>
            </w:tcMar>
            <w:vAlign w:val="center"/>
          </w:tcPr>
          <w:p>
            <w:pPr>
              <w:pStyle w:val="TableContents"/>
              <w:bidi w:val="0"/>
              <w:spacing w:before="0" w:after="283"/>
              <w:jc w:val="left"/>
              <w:rPr/>
            </w:pPr>
            <w:r>
              <w:rPr/>
              <w:t> </w:t>
            </w:r>
          </w:p>
        </w:tc>
        <w:tc>
          <w:tcPr>
            <w:tcW w:w="7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230"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1220" w:type="dxa"/>
            <w:tcBorders/>
            <w:shd w:fill="CCEEFF" w:val="clear"/>
            <w:vAlign w:val="center"/>
          </w:tcPr>
          <w:p>
            <w:pPr>
              <w:pStyle w:val="TableContents"/>
              <w:bidi w:val="0"/>
              <w:spacing w:before="0" w:after="283"/>
              <w:jc w:val="center"/>
              <w:rPr/>
            </w:pPr>
            <w:r>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50" w:type="dxa"/>
            <w:tcBorders/>
            <w:shd w:fill="CCEEFF" w:val="clear"/>
            <w:vAlign w:val="center"/>
          </w:tcPr>
          <w:p>
            <w:pPr>
              <w:pStyle w:val="TableContents"/>
              <w:bidi w:val="0"/>
              <w:spacing w:before="0" w:after="283"/>
              <w:jc w:val="left"/>
              <w:rPr/>
            </w:pPr>
            <w:r>
              <w:rPr/>
              <w:t>Consumer Products</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581" w:type="dxa"/>
            <w:tcBorders/>
            <w:shd w:fill="CCEEFF" w:val="clear"/>
            <w:vAlign w:val="center"/>
          </w:tcPr>
          <w:p>
            <w:pPr>
              <w:pStyle w:val="TableContents"/>
              <w:bidi w:val="0"/>
              <w:spacing w:before="0" w:after="283"/>
              <w:jc w:val="right"/>
              <w:rPr/>
            </w:pPr>
            <w:bookmarkStart w:id="663" w:name="xdx_90E_eus-gaap--ConcentrationRiskPerce"/>
            <w:bookmarkEnd w:id="663"/>
            <w:r>
              <w:rPr/>
              <w:t>29</w:t>
            </w:r>
          </w:p>
        </w:tc>
        <w:tc>
          <w:tcPr>
            <w:tcW w:w="480" w:type="dxa"/>
            <w:tcBorders/>
            <w:shd w:fill="CCEEFF" w:val="clear"/>
            <w:vAlign w:val="center"/>
          </w:tcPr>
          <w:p>
            <w:pPr>
              <w:pStyle w:val="TableContents"/>
              <w:bidi w:val="0"/>
              <w:spacing w:before="0" w:after="283"/>
              <w:jc w:val="left"/>
              <w:rPr/>
            </w:pPr>
            <w:r>
              <w:rPr/>
              <w:t>%</w:t>
            </w:r>
          </w:p>
        </w:tc>
        <w:tc>
          <w:tcPr>
            <w:tcW w:w="134"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581" w:type="dxa"/>
            <w:tcBorders/>
            <w:shd w:fill="CCEEFF" w:val="clear"/>
            <w:vAlign w:val="center"/>
          </w:tcPr>
          <w:p>
            <w:pPr>
              <w:pStyle w:val="TableContents"/>
              <w:bidi w:val="0"/>
              <w:spacing w:before="0" w:after="283"/>
              <w:jc w:val="right"/>
              <w:rPr/>
            </w:pPr>
            <w:bookmarkStart w:id="664" w:name="xdx_90D_eus-gaap--ConcentrationRiskPerce"/>
            <w:bookmarkEnd w:id="664"/>
            <w:r>
              <w:rPr/>
              <w:t>32</w:t>
            </w:r>
          </w:p>
        </w:tc>
        <w:tc>
          <w:tcPr>
            <w:tcW w:w="230" w:type="dxa"/>
            <w:tcBorders/>
            <w:shd w:fill="CCEEFF" w:val="clear"/>
            <w:vAlign w:val="center"/>
          </w:tcPr>
          <w:p>
            <w:pPr>
              <w:pStyle w:val="TableContents"/>
              <w:bidi w:val="0"/>
              <w:spacing w:before="0" w:after="283"/>
              <w:jc w:val="left"/>
              <w:rPr/>
            </w:pPr>
            <w:r>
              <w:rPr/>
              <w:t>%</w:t>
            </w:r>
          </w:p>
        </w:tc>
      </w:tr>
      <w:tr>
        <w:trPr/>
        <w:tc>
          <w:tcPr>
            <w:tcW w:w="1220" w:type="dxa"/>
            <w:tcBorders/>
            <w:shd w:fill="FFFFFF" w:val="clear"/>
            <w:vAlign w:val="center"/>
          </w:tcPr>
          <w:p>
            <w:pPr>
              <w:pStyle w:val="TableContents"/>
              <w:bidi w:val="0"/>
              <w:spacing w:before="0" w:after="283"/>
              <w:jc w:val="center"/>
              <w:rPr/>
            </w:pPr>
            <w:r>
              <w:rPr/>
              <w:t>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50" w:type="dxa"/>
            <w:tcBorders/>
            <w:shd w:fill="FFFFFF" w:val="clear"/>
            <w:vAlign w:val="center"/>
          </w:tcPr>
          <w:p>
            <w:pPr>
              <w:pStyle w:val="TableContents"/>
              <w:bidi w:val="0"/>
              <w:spacing w:before="0" w:after="283"/>
              <w:jc w:val="left"/>
              <w:rPr/>
            </w:pPr>
            <w:r>
              <w:rPr/>
              <w:t>Consumer Products</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581" w:type="dxa"/>
            <w:tcBorders/>
            <w:shd w:fill="FFFFFF" w:val="clear"/>
            <w:vAlign w:val="center"/>
          </w:tcPr>
          <w:p>
            <w:pPr>
              <w:pStyle w:val="TableContents"/>
              <w:bidi w:val="0"/>
              <w:spacing w:before="0" w:after="283"/>
              <w:jc w:val="right"/>
              <w:rPr/>
            </w:pPr>
            <w:bookmarkStart w:id="665" w:name="xdx_908_eus-gaap--ConcentrationRiskPerce"/>
            <w:bookmarkEnd w:id="665"/>
            <w:r>
              <w:rPr/>
              <w:t>16</w:t>
            </w:r>
          </w:p>
        </w:tc>
        <w:tc>
          <w:tcPr>
            <w:tcW w:w="480" w:type="dxa"/>
            <w:tcBorders/>
            <w:shd w:fill="FFFFFF" w:val="clear"/>
            <w:vAlign w:val="center"/>
          </w:tcPr>
          <w:p>
            <w:pPr>
              <w:pStyle w:val="TableContents"/>
              <w:bidi w:val="0"/>
              <w:spacing w:before="0" w:after="283"/>
              <w:jc w:val="left"/>
              <w:rPr/>
            </w:pPr>
            <w:r>
              <w:rPr/>
              <w:t>%</w:t>
            </w:r>
          </w:p>
        </w:tc>
        <w:tc>
          <w:tcPr>
            <w:tcW w:w="134"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581" w:type="dxa"/>
            <w:tcBorders/>
            <w:shd w:fill="FFFFFF" w:val="clear"/>
            <w:vAlign w:val="center"/>
          </w:tcPr>
          <w:p>
            <w:pPr>
              <w:pStyle w:val="TableContents"/>
              <w:bidi w:val="0"/>
              <w:spacing w:before="0" w:after="283"/>
              <w:jc w:val="right"/>
              <w:rPr/>
            </w:pPr>
            <w:bookmarkStart w:id="666" w:name="xdx_901_eus-gaap--ConcentrationRiskPerce"/>
            <w:bookmarkEnd w:id="666"/>
            <w:r>
              <w:rPr/>
              <w:t>—</w:t>
            </w:r>
          </w:p>
        </w:tc>
        <w:tc>
          <w:tcPr>
            <w:tcW w:w="230" w:type="dxa"/>
            <w:tcBorders/>
            <w:shd w:fill="FFFFFF" w:val="clear"/>
            <w:vAlign w:val="center"/>
          </w:tcPr>
          <w:p>
            <w:pPr>
              <w:pStyle w:val="TableContents"/>
              <w:bidi w:val="0"/>
              <w:spacing w:before="0" w:after="283"/>
              <w:jc w:val="left"/>
              <w:rPr/>
            </w:pPr>
            <w:r>
              <w:rPr/>
              <w:t>%</w:t>
            </w:r>
          </w:p>
        </w:tc>
      </w:tr>
      <w:tr>
        <w:trPr/>
        <w:tc>
          <w:tcPr>
            <w:tcW w:w="1220" w:type="dxa"/>
            <w:tcBorders/>
            <w:shd w:fill="CCEEFF" w:val="clear"/>
            <w:vAlign w:val="center"/>
          </w:tcPr>
          <w:p>
            <w:pPr>
              <w:pStyle w:val="TableContents"/>
              <w:bidi w:val="0"/>
              <w:spacing w:before="0" w:after="283"/>
              <w:jc w:val="center"/>
              <w:rPr/>
            </w:pPr>
            <w:r>
              <w:rPr/>
              <w:t>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50" w:type="dxa"/>
            <w:tcBorders/>
            <w:shd w:fill="CCEEFF" w:val="clear"/>
            <w:vAlign w:val="center"/>
          </w:tcPr>
          <w:p>
            <w:pPr>
              <w:pStyle w:val="TableContents"/>
              <w:bidi w:val="0"/>
              <w:spacing w:before="0" w:after="283"/>
              <w:jc w:val="left"/>
              <w:rPr/>
            </w:pPr>
            <w:r>
              <w:rPr/>
              <w:t>Personal Care Ingredients</w:t>
            </w:r>
          </w:p>
        </w:tc>
        <w:tc>
          <w:tcPr>
            <w:tcW w:w="60" w:type="dxa"/>
            <w:tcBorders/>
            <w:shd w:fill="CCEEFF" w:val="clear"/>
            <w:vAlign w:val="center"/>
          </w:tcPr>
          <w:p>
            <w:pPr>
              <w:pStyle w:val="TableContents"/>
              <w:bidi w:val="0"/>
              <w:spacing w:before="0" w:after="283"/>
              <w:jc w:val="left"/>
              <w:rPr/>
            </w:pPr>
            <w:r>
              <w:rPr/>
              <w:t> </w:t>
            </w:r>
          </w:p>
        </w:tc>
        <w:tc>
          <w:tcPr>
            <w:tcW w:w="13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81" w:type="dxa"/>
            <w:tcBorders>
              <w:bottom w:val="single" w:sz="8" w:space="0" w:color="000000"/>
            </w:tcBorders>
            <w:shd w:fill="CCEEFF" w:val="clear"/>
            <w:tcMar>
              <w:bottom w:w="28" w:type="dxa"/>
            </w:tcMar>
            <w:vAlign w:val="center"/>
          </w:tcPr>
          <w:p>
            <w:pPr>
              <w:pStyle w:val="TableContents"/>
              <w:bidi w:val="0"/>
              <w:spacing w:before="0" w:after="283"/>
              <w:jc w:val="right"/>
              <w:rPr/>
            </w:pPr>
            <w:bookmarkStart w:id="667" w:name="xdx_905_eus-gaap--ConcentrationRiskPerce"/>
            <w:bookmarkEnd w:id="667"/>
            <w:r>
              <w:rPr/>
              <w:t>10</w:t>
            </w:r>
          </w:p>
        </w:tc>
        <w:tc>
          <w:tcPr>
            <w:tcW w:w="480" w:type="dxa"/>
            <w:tcBorders/>
            <w:shd w:fill="CCEEFF" w:val="clear"/>
            <w:vAlign w:val="center"/>
          </w:tcPr>
          <w:p>
            <w:pPr>
              <w:pStyle w:val="TableContents"/>
              <w:bidi w:val="0"/>
              <w:spacing w:before="0" w:after="283"/>
              <w:jc w:val="left"/>
              <w:rPr/>
            </w:pPr>
            <w:r>
              <w:rPr/>
              <w:t>%</w:t>
            </w:r>
          </w:p>
        </w:tc>
        <w:tc>
          <w:tcPr>
            <w:tcW w:w="134" w:type="dxa"/>
            <w:tcBorders/>
            <w:shd w:fill="CCEEFF" w:val="clear"/>
            <w:vAlign w:val="center"/>
          </w:tcPr>
          <w:p>
            <w:pPr>
              <w:pStyle w:val="TableContents"/>
              <w:bidi w:val="0"/>
              <w:spacing w:before="0" w:after="283"/>
              <w:jc w:val="left"/>
              <w:rPr/>
            </w:pPr>
            <w:r>
              <w:rPr/>
              <w:t> </w:t>
            </w:r>
          </w:p>
        </w:tc>
        <w:tc>
          <w:tcPr>
            <w:tcW w:w="13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81" w:type="dxa"/>
            <w:tcBorders>
              <w:bottom w:val="single" w:sz="8" w:space="0" w:color="000000"/>
            </w:tcBorders>
            <w:shd w:fill="CCEEFF" w:val="clear"/>
            <w:tcMar>
              <w:bottom w:w="28" w:type="dxa"/>
            </w:tcMar>
            <w:vAlign w:val="center"/>
          </w:tcPr>
          <w:p>
            <w:pPr>
              <w:pStyle w:val="TableContents"/>
              <w:bidi w:val="0"/>
              <w:spacing w:before="0" w:after="283"/>
              <w:jc w:val="right"/>
              <w:rPr/>
            </w:pPr>
            <w:bookmarkStart w:id="668" w:name="xdx_906_eus-gaap--ConcentrationRiskPerce"/>
            <w:bookmarkEnd w:id="668"/>
            <w:r>
              <w:rPr/>
              <w:t>13</w:t>
            </w:r>
          </w:p>
        </w:tc>
        <w:tc>
          <w:tcPr>
            <w:tcW w:w="23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r>
      <w:tr>
        <w:trPr/>
        <w:tc>
          <w:tcPr>
            <w:tcW w:w="122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50"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13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581"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669" w:name="xdx_905_eus-gaap--ConcentrationRiskPerce"/>
            <w:bookmarkEnd w:id="669"/>
            <w:r>
              <w:rPr/>
              <w:t>55</w:t>
            </w:r>
          </w:p>
        </w:tc>
        <w:tc>
          <w:tcPr>
            <w:tcW w:w="480" w:type="dxa"/>
            <w:tcBorders/>
            <w:shd w:fill="FFFFFF" w:val="clear"/>
            <w:vAlign w:val="center"/>
          </w:tcPr>
          <w:p>
            <w:pPr>
              <w:pStyle w:val="TableContents"/>
              <w:bidi w:val="0"/>
              <w:spacing w:before="0" w:after="283"/>
              <w:jc w:val="left"/>
              <w:rPr/>
            </w:pPr>
            <w:r>
              <w:rPr/>
              <w:t>%</w:t>
            </w:r>
          </w:p>
        </w:tc>
        <w:tc>
          <w:tcPr>
            <w:tcW w:w="134" w:type="dxa"/>
            <w:tcBorders/>
            <w:shd w:fill="FFFFFF" w:val="clear"/>
            <w:vAlign w:val="center"/>
          </w:tcPr>
          <w:p>
            <w:pPr>
              <w:pStyle w:val="TableContents"/>
              <w:bidi w:val="0"/>
              <w:spacing w:before="0" w:after="283"/>
              <w:jc w:val="left"/>
              <w:rPr/>
            </w:pPr>
            <w:r>
              <w:rPr/>
              <w:t> </w:t>
            </w:r>
          </w:p>
        </w:tc>
        <w:tc>
          <w:tcPr>
            <w:tcW w:w="13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581"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670" w:name="xdx_904_eus-gaap--ConcentrationRiskPerce"/>
            <w:bookmarkEnd w:id="670"/>
            <w:r>
              <w:rPr/>
              <w:t>45</w:t>
            </w:r>
          </w:p>
        </w:tc>
        <w:tc>
          <w:tcPr>
            <w:tcW w:w="23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r>
    </w:tbl>
    <w:p>
      <w:pPr>
        <w:pStyle w:val="TextBody"/>
        <w:bidi w:val="0"/>
        <w:spacing w:before="0" w:after="0"/>
        <w:ind w:left="186" w:right="186" w:firstLine="720"/>
        <w:jc w:val="both"/>
        <w:rPr>
          <w:caps w:val="false"/>
          <w:smallCaps w:val="false"/>
        </w:rPr>
      </w:pPr>
      <w:bookmarkStart w:id="671" w:name="xdx_8A2_zlI7RdJ800Vk"/>
      <w:bookmarkEnd w:id="671"/>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bookmarkStart w:id="672" w:name="xdx_8BA_zAH7eJcEUzuj"/>
      <w:bookmarkStart w:id="673" w:name="xdx_892_ecustom--ContractWithCustomerAcc"/>
      <w:bookmarkEnd w:id="672"/>
      <w:bookmarkEnd w:id="673"/>
      <w:r>
        <w:rPr>
          <w:rFonts w:ascii="Times New Roman;Times;Serif" w:hAnsi="Times New Roman;Times;Serif"/>
          <w:b w:val="false"/>
          <w:i w:val="false"/>
          <w:caps w:val="false"/>
          <w:smallCaps w:val="false"/>
          <w:sz w:val="20"/>
        </w:rPr>
        <w:t>Contractual accounts receivable balances for these three customers was approximately:</w:t>
      </w:r>
    </w:p>
    <w:p>
      <w:pPr>
        <w:pStyle w:val="TextBody"/>
        <w:bidi w:val="0"/>
        <w:spacing w:before="0" w:after="0"/>
        <w:ind w:left="0" w:right="0" w:firstLine="720"/>
        <w:jc w:val="left"/>
        <w:rPr>
          <w:caps w:val="false"/>
          <w:smallCaps w:val="false"/>
        </w:rPr>
      </w:pPr>
      <w:r>
        <w:rPr>
          <w:caps w:val="false"/>
          <w:smallCaps w:val="false"/>
        </w:rPr>
        <w:t> </w:t>
      </w:r>
    </w:p>
    <w:tbl>
      <w:tblPr>
        <w:tblW w:w="5445" w:type="dxa"/>
        <w:jc w:val="left"/>
        <w:tblInd w:w="0" w:type="dxa"/>
        <w:tblLayout w:type="fixed"/>
        <w:tblCellMar>
          <w:top w:w="0" w:type="dxa"/>
          <w:left w:w="0" w:type="dxa"/>
          <w:bottom w:w="0" w:type="dxa"/>
          <w:right w:w="0" w:type="dxa"/>
        </w:tblCellMar>
      </w:tblPr>
      <w:tblGrid>
        <w:gridCol w:w="1220"/>
        <w:gridCol w:w="60"/>
        <w:gridCol w:w="60"/>
        <w:gridCol w:w="2450"/>
        <w:gridCol w:w="60"/>
        <w:gridCol w:w="140"/>
        <w:gridCol w:w="560"/>
        <w:gridCol w:w="60"/>
        <w:gridCol w:w="60"/>
        <w:gridCol w:w="140"/>
        <w:gridCol w:w="560"/>
        <w:gridCol w:w="75"/>
      </w:tblGrid>
      <w:tr>
        <w:trPr/>
        <w:tc>
          <w:tcPr>
            <w:tcW w:w="12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2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As of</w:t>
              <w:br/>
              <w:t>December 31,</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1220" w:type="dxa"/>
            <w:tcBorders>
              <w:bottom w:val="single" w:sz="8" w:space="0" w:color="000000"/>
            </w:tcBorders>
            <w:tcMar>
              <w:bottom w:w="28" w:type="dxa"/>
            </w:tcMar>
            <w:vAlign w:val="center"/>
          </w:tcPr>
          <w:p>
            <w:pPr>
              <w:pStyle w:val="TableContents"/>
              <w:bidi w:val="0"/>
              <w:spacing w:before="0" w:after="283"/>
              <w:jc w:val="center"/>
              <w:rPr>
                <w:b/>
              </w:rPr>
            </w:pPr>
            <w:r>
              <w:rPr>
                <w:b/>
              </w:rPr>
              <w:t>Customer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2450" w:type="dxa"/>
            <w:tcBorders>
              <w:bottom w:val="single" w:sz="8" w:space="0" w:color="000000"/>
            </w:tcBorders>
            <w:tcMar>
              <w:bottom w:w="28" w:type="dxa"/>
            </w:tcMar>
            <w:vAlign w:val="center"/>
          </w:tcPr>
          <w:p>
            <w:pPr>
              <w:pStyle w:val="TableContents"/>
              <w:bidi w:val="0"/>
              <w:spacing w:before="0" w:after="283"/>
              <w:jc w:val="left"/>
              <w:rPr>
                <w:b/>
              </w:rPr>
            </w:pPr>
            <w:r>
              <w:rPr>
                <w:b/>
              </w:rPr>
              <w:t>Product Category</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1220" w:type="dxa"/>
            <w:tcBorders/>
            <w:shd w:fill="CCEEFF" w:val="clear"/>
            <w:vAlign w:val="center"/>
          </w:tcPr>
          <w:p>
            <w:pPr>
              <w:pStyle w:val="TableContents"/>
              <w:bidi w:val="0"/>
              <w:spacing w:before="0" w:after="283"/>
              <w:jc w:val="center"/>
              <w:rPr/>
            </w:pPr>
            <w:r>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50" w:type="dxa"/>
            <w:tcBorders/>
            <w:shd w:fill="CCEEFF" w:val="clear"/>
            <w:vAlign w:val="center"/>
          </w:tcPr>
          <w:p>
            <w:pPr>
              <w:pStyle w:val="TableContents"/>
              <w:bidi w:val="0"/>
              <w:spacing w:before="0" w:after="283"/>
              <w:jc w:val="left"/>
              <w:rPr/>
            </w:pPr>
            <w:r>
              <w:rPr/>
              <w:t>Consumer Products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674" w:name="xdx_98A_eus-gaap--ContractWithCustomerRe"/>
            <w:bookmarkEnd w:id="674"/>
          </w:p>
        </w:tc>
        <w:tc>
          <w:tcPr>
            <w:tcW w:w="560" w:type="dxa"/>
            <w:tcBorders/>
            <w:shd w:fill="CCEEFF" w:val="clear"/>
            <w:vAlign w:val="center"/>
          </w:tcPr>
          <w:p>
            <w:pPr>
              <w:pStyle w:val="TableContents"/>
              <w:bidi w:val="0"/>
              <w:spacing w:before="0" w:after="283"/>
              <w:jc w:val="right"/>
              <w:rPr/>
            </w:pPr>
            <w:r>
              <w:rPr/>
              <w:t>3,695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675" w:name="xdx_986_eus-gaap--ContractWithCustomerRe"/>
            <w:bookmarkEnd w:id="675"/>
          </w:p>
        </w:tc>
        <w:tc>
          <w:tcPr>
            <w:tcW w:w="560" w:type="dxa"/>
            <w:tcBorders/>
            <w:shd w:fill="CCEEFF" w:val="clear"/>
            <w:vAlign w:val="center"/>
          </w:tcPr>
          <w:p>
            <w:pPr>
              <w:pStyle w:val="TableContents"/>
              <w:bidi w:val="0"/>
              <w:spacing w:before="0" w:after="283"/>
              <w:jc w:val="right"/>
              <w:rPr/>
            </w:pPr>
            <w:r>
              <w:rPr/>
              <w:t>2,366</w:t>
            </w:r>
          </w:p>
        </w:tc>
        <w:tc>
          <w:tcPr>
            <w:tcW w:w="75" w:type="dxa"/>
            <w:tcBorders/>
            <w:shd w:fill="CCEEFF" w:val="clear"/>
            <w:vAlign w:val="center"/>
          </w:tcPr>
          <w:p>
            <w:pPr>
              <w:pStyle w:val="TableContents"/>
              <w:bidi w:val="0"/>
              <w:spacing w:before="0" w:after="283"/>
              <w:jc w:val="left"/>
              <w:rPr/>
            </w:pPr>
            <w:r>
              <w:rPr/>
              <w:t> </w:t>
            </w:r>
          </w:p>
        </w:tc>
      </w:tr>
      <w:tr>
        <w:trPr/>
        <w:tc>
          <w:tcPr>
            <w:tcW w:w="1220" w:type="dxa"/>
            <w:tcBorders/>
            <w:shd w:fill="FFFFFF" w:val="clear"/>
            <w:vAlign w:val="center"/>
          </w:tcPr>
          <w:p>
            <w:pPr>
              <w:pStyle w:val="TableContents"/>
              <w:bidi w:val="0"/>
              <w:spacing w:before="0" w:after="283"/>
              <w:jc w:val="center"/>
              <w:rPr/>
            </w:pPr>
            <w:r>
              <w:rPr/>
              <w:t>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50" w:type="dxa"/>
            <w:tcBorders/>
            <w:shd w:fill="FFFFFF" w:val="clear"/>
            <w:vAlign w:val="center"/>
          </w:tcPr>
          <w:p>
            <w:pPr>
              <w:pStyle w:val="TableContents"/>
              <w:bidi w:val="0"/>
              <w:spacing w:before="0" w:after="283"/>
              <w:jc w:val="left"/>
              <w:rPr/>
            </w:pPr>
            <w:r>
              <w:rPr/>
              <w:t>Consumer Products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676" w:name="xdx_98E_eus-gaap--ContractWithCustomerRe"/>
            <w:bookmarkEnd w:id="676"/>
          </w:p>
        </w:tc>
        <w:tc>
          <w:tcPr>
            <w:tcW w:w="560" w:type="dxa"/>
            <w:tcBorders/>
            <w:shd w:fill="FFFFFF" w:val="clear"/>
            <w:vAlign w:val="center"/>
          </w:tcPr>
          <w:p>
            <w:pPr>
              <w:pStyle w:val="TableContents"/>
              <w:bidi w:val="0"/>
              <w:spacing w:before="0" w:after="283"/>
              <w:jc w:val="right"/>
              <w:rPr/>
            </w:pPr>
            <w:r>
              <w:rPr/>
              <w:t>575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677" w:name="xdx_988_eus-gaap--ContractWithCustomerRe"/>
            <w:bookmarkEnd w:id="677"/>
          </w:p>
        </w:tc>
        <w:tc>
          <w:tcPr>
            <w:tcW w:w="56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1220" w:type="dxa"/>
            <w:tcBorders/>
            <w:shd w:fill="CCEEFF" w:val="clear"/>
            <w:vAlign w:val="center"/>
          </w:tcPr>
          <w:p>
            <w:pPr>
              <w:pStyle w:val="TableContents"/>
              <w:bidi w:val="0"/>
              <w:spacing w:before="0" w:after="283"/>
              <w:jc w:val="center"/>
              <w:rPr/>
            </w:pPr>
            <w:r>
              <w:rPr/>
              <w:t>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50" w:type="dxa"/>
            <w:tcBorders/>
            <w:shd w:fill="CCEEFF" w:val="clear"/>
            <w:vAlign w:val="center"/>
          </w:tcPr>
          <w:p>
            <w:pPr>
              <w:pStyle w:val="TableContents"/>
              <w:bidi w:val="0"/>
              <w:spacing w:before="0" w:after="283"/>
              <w:jc w:val="left"/>
              <w:rPr/>
            </w:pPr>
            <w:r>
              <w:rPr/>
              <w:t>Personal Care Ingredients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678" w:name="xdx_98C_eus-gaap--ContractWithCustomerRe"/>
            <w:bookmarkEnd w:id="678"/>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pPr>
            <w:r>
              <w:rPr/>
              <w:t>389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679" w:name="xdx_982_eus-gaap--ContractWithCustomerRe"/>
            <w:bookmarkEnd w:id="679"/>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pPr>
            <w:r>
              <w:rPr/>
              <w:t>160</w:t>
            </w:r>
          </w:p>
        </w:tc>
        <w:tc>
          <w:tcPr>
            <w:tcW w:w="75" w:type="dxa"/>
            <w:tcBorders/>
            <w:shd w:fill="CCEEFF" w:val="clear"/>
            <w:vAlign w:val="center"/>
          </w:tcPr>
          <w:p>
            <w:pPr>
              <w:pStyle w:val="TableContents"/>
              <w:bidi w:val="0"/>
              <w:spacing w:before="0" w:after="283"/>
              <w:jc w:val="left"/>
              <w:rPr/>
            </w:pPr>
            <w:r>
              <w:rPr/>
              <w:t> </w:t>
            </w:r>
          </w:p>
        </w:tc>
      </w:tr>
      <w:tr>
        <w:trPr/>
        <w:tc>
          <w:tcPr>
            <w:tcW w:w="122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50"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680" w:name="xdx_983_eus-gaap--ContractWithCustomerRe"/>
            <w:bookmarkEnd w:id="680"/>
          </w:p>
        </w:tc>
        <w:tc>
          <w:tcPr>
            <w:tcW w:w="560" w:type="dxa"/>
            <w:tcBorders>
              <w:bottom w:val="double" w:sz="6" w:space="0" w:color="000000"/>
            </w:tcBorders>
            <w:shd w:fill="FFFFFF" w:val="clear"/>
            <w:tcMar>
              <w:bottom w:w="28" w:type="dxa"/>
            </w:tcMar>
            <w:vAlign w:val="center"/>
          </w:tcPr>
          <w:p>
            <w:pPr>
              <w:pStyle w:val="TableContents"/>
              <w:bidi w:val="0"/>
              <w:spacing w:before="0" w:after="283"/>
              <w:jc w:val="right"/>
              <w:rPr/>
            </w:pPr>
            <w:r>
              <w:rPr/>
              <w:t>4,659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681" w:name="xdx_984_eus-gaap--ContractWithCustomerRe"/>
            <w:bookmarkEnd w:id="681"/>
          </w:p>
        </w:tc>
        <w:tc>
          <w:tcPr>
            <w:tcW w:w="560" w:type="dxa"/>
            <w:tcBorders>
              <w:bottom w:val="double" w:sz="6" w:space="0" w:color="000000"/>
            </w:tcBorders>
            <w:shd w:fill="FFFFFF" w:val="clear"/>
            <w:tcMar>
              <w:bottom w:w="28" w:type="dxa"/>
            </w:tcMar>
            <w:vAlign w:val="center"/>
          </w:tcPr>
          <w:p>
            <w:pPr>
              <w:pStyle w:val="TableContents"/>
              <w:bidi w:val="0"/>
              <w:spacing w:before="0" w:after="283"/>
              <w:jc w:val="right"/>
              <w:rPr/>
            </w:pPr>
            <w:r>
              <w:rPr/>
              <w:t>2,526</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6" w:right="0" w:firstLine="714"/>
        <w:jc w:val="both"/>
        <w:rPr>
          <w:caps w:val="false"/>
          <w:smallCaps w:val="false"/>
        </w:rPr>
      </w:pPr>
      <w:bookmarkStart w:id="682" w:name="xdx_8AD_z3PmhZ4Ft08i"/>
      <w:bookmarkEnd w:id="682"/>
      <w:r>
        <w:rPr>
          <w:caps w:val="false"/>
          <w:smallCaps w:val="false"/>
        </w:rPr>
        <w:t> </w:t>
      </w:r>
    </w:p>
    <w:p>
      <w:pPr>
        <w:pStyle w:val="TextBody"/>
        <w:bidi w:val="0"/>
        <w:spacing w:before="0" w:after="0"/>
        <w:ind w:left="6" w:right="0" w:firstLine="71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currently have exclusive supply agreements with BASF Corporation (“BASF”), our third largest customer, that have contingencies outlined which could potentially result in the sale of production equipment from the Company to the customer intended to provide capacity sufficient to meet the customer’s production needs. This outcome may occur if we fail to meet certain performance requirements. In the event of an equipment sale, upon incurring a triggering event, the equipment would be sold to the customer at either </w:t>
      </w:r>
      <w:bookmarkStart w:id="683" w:name="xdx_902_ecustom--EquipmentSaleNetBookVal"/>
      <w:bookmarkEnd w:id="683"/>
      <w:r>
        <w:rPr>
          <w:rFonts w:ascii="Times New Roman;Times;Serif" w:hAnsi="Times New Roman;Times;Serif"/>
          <w:b w:val="false"/>
          <w:i w:val="false"/>
          <w:caps w:val="false"/>
          <w:smallCaps w:val="false"/>
          <w:sz w:val="20"/>
        </w:rPr>
        <w:t xml:space="preserve">115% of the equipment’s net book value or the greater of </w:t>
      </w:r>
      <w:bookmarkStart w:id="684" w:name="xdx_906_ecustom--EquipmentSaleOriginalBo"/>
      <w:bookmarkEnd w:id="684"/>
      <w:r>
        <w:rPr>
          <w:rFonts w:ascii="Times New Roman;Times;Serif" w:hAnsi="Times New Roman;Times;Serif"/>
          <w:b w:val="false"/>
          <w:i w:val="false"/>
          <w:caps w:val="false"/>
          <w:smallCaps w:val="false"/>
          <w:sz w:val="20"/>
        </w:rPr>
        <w:t xml:space="preserve">30% of the original book value of such equipment, and any associated upgrades to it, or </w:t>
      </w:r>
      <w:bookmarkStart w:id="685" w:name="xdx_90B_ecustom--EquipmentSaleNetBookVal"/>
      <w:bookmarkEnd w:id="685"/>
      <w:r>
        <w:rPr>
          <w:rFonts w:ascii="Times New Roman;Times;Serif" w:hAnsi="Times New Roman;Times;Serif"/>
          <w:b w:val="false"/>
          <w:i w:val="false"/>
          <w:caps w:val="false"/>
          <w:smallCaps w:val="false"/>
          <w:sz w:val="20"/>
        </w:rPr>
        <w:t>115% of the equipment’s net book value, depending on the equipment and related products.</w:t>
      </w:r>
    </w:p>
    <w:p>
      <w:pPr>
        <w:pStyle w:val="TextBody"/>
        <w:bidi w:val="0"/>
        <w:spacing w:before="0" w:after="0"/>
        <w:ind w:left="6" w:right="0" w:firstLine="714"/>
        <w:jc w:val="both"/>
        <w:rPr>
          <w:caps w:val="false"/>
          <w:smallCaps w:val="false"/>
        </w:rPr>
      </w:pPr>
      <w:r>
        <w:rPr>
          <w:caps w:val="false"/>
          <w:smallCaps w:val="false"/>
        </w:rPr>
        <w:t> </w:t>
      </w:r>
    </w:p>
    <w:p>
      <w:pPr>
        <w:pStyle w:val="TextBody"/>
        <w:bidi w:val="0"/>
        <w:spacing w:before="0" w:after="0"/>
        <w:ind w:left="6" w:right="0" w:firstLine="714"/>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F-19 </w:t>
      </w:r>
    </w:p>
    <w:p>
      <w:pPr>
        <w:pStyle w:val="TextBody"/>
        <w:bidi w:val="0"/>
        <w:spacing w:before="0" w:after="0"/>
        <w:ind w:left="6" w:right="0" w:firstLine="714"/>
        <w:jc w:val="both"/>
        <w:rPr>
          <w:caps w:val="false"/>
          <w:smallCaps w:val="false"/>
        </w:rPr>
      </w:pPr>
      <w:bookmarkStart w:id="686" w:name="xdx_235_zix0XxiGlUya"/>
      <w:bookmarkEnd w:id="686"/>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triggering event were to occur and BASF elected to proceed with the equipment sale mentioned above, we would lose significant revenue and difficult to replace in the near term.</w:t>
      </w:r>
    </w:p>
    <w:p>
      <w:pPr>
        <w:pStyle w:val="TextBody"/>
        <w:bidi w:val="0"/>
        <w:spacing w:before="0" w:after="0"/>
        <w:ind w:left="0" w:right="0" w:firstLine="720"/>
        <w:jc w:val="both"/>
        <w:rPr>
          <w:caps w:val="false"/>
          <w:smallCaps w:val="false"/>
        </w:rPr>
      </w:pPr>
      <w:bookmarkStart w:id="687" w:name="xdx_814_zBYhBA3ugWq3"/>
      <w:bookmarkEnd w:id="687"/>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88" w:name="xdx_809_eus-gaap--SegmentReportingDisclo"/>
      <w:bookmarkEnd w:id="688"/>
      <w:r>
        <w:rPr>
          <w:rFonts w:ascii="Times New Roman;Times;Serif" w:hAnsi="Times New Roman;Times;Serif"/>
          <w:b/>
          <w:i w:val="false"/>
          <w:caps w:val="false"/>
          <w:smallCaps w:val="false"/>
          <w:sz w:val="20"/>
        </w:rPr>
        <w:t xml:space="preserve">(13) </w:t>
      </w:r>
      <w:bookmarkStart w:id="689" w:name="xdx_826_zqEUSDpoxfRd"/>
      <w:bookmarkEnd w:id="689"/>
      <w:r>
        <w:rPr>
          <w:rFonts w:ascii="Times New Roman;Times;Serif" w:hAnsi="Times New Roman;Times;Serif"/>
          <w:b/>
          <w:i w:val="false"/>
          <w:caps w:val="false"/>
          <w:smallCaps w:val="false"/>
          <w:sz w:val="20"/>
        </w:rPr>
        <w:t>Business Segmentation and Geographical Distribution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operates as a single business segment, in which the factors used to make this determination include differences in products, services, geographical areas, regulatory environment, and other such criteria considered for the appropriateness of aggregation. The types of products and services for which the sole reportable segment, which is the same as the Company as a whole, offered by the company is discussed in Note 1. Since the Company operates as a single segment, there were no intra-entity sales or transfers.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role of Chief Operating Decision Maker for the Company is comprised of a committee that includes the Chief Executive and Chief Operating Officers. The Chief Operating Decision Maker assesses performance for the single segment and decides how to allocate resources based on net income that also is reported on the income statement as net income. The measure of segment assets is reported on the balance sheet as total assets. The accounting policies of the sole segment are the same as those described in the summary of significant accounting policies in Note 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bookmarkStart w:id="690" w:name="xdx_8BE_zQ35jB3J6KWd"/>
      <w:bookmarkStart w:id="691" w:name="xdx_895_eus-gaap--ScheduleOfSegmentRepor"/>
      <w:bookmarkEnd w:id="690"/>
      <w:bookmarkEnd w:id="691"/>
      <w:r>
        <w:rPr>
          <w:rFonts w:ascii="Times New Roman;Times;Serif" w:hAnsi="Times New Roman;Times;Serif"/>
          <w:b w:val="false"/>
          <w:i w:val="false"/>
          <w:caps w:val="false"/>
          <w:smallCaps w:val="false"/>
          <w:sz w:val="20"/>
        </w:rPr>
        <w:t>The Chief Operating Decision Maker uses gross profit and net income to evaluate Company performance and in what way to allocate resources. Significant segment expenses, which are the same as the entity as a whole, are as follows:</w:t>
      </w:r>
    </w:p>
    <w:p>
      <w:pPr>
        <w:pStyle w:val="TextBody"/>
        <w:bidi w:val="0"/>
        <w:spacing w:before="0" w:after="0"/>
        <w:ind w:left="0" w:right="0" w:firstLine="720"/>
        <w:jc w:val="both"/>
        <w:rPr>
          <w:caps w:val="false"/>
          <w:smallCaps w:val="false"/>
        </w:rPr>
      </w:pPr>
      <w:r>
        <w:rPr>
          <w:caps w:val="false"/>
          <w:smallCaps w:val="false"/>
        </w:rPr>
        <w:t> </w:t>
      </w:r>
    </w:p>
    <w:tbl>
      <w:tblPr>
        <w:tblW w:w="6820" w:type="dxa"/>
        <w:jc w:val="left"/>
        <w:tblInd w:w="0" w:type="dxa"/>
        <w:tblLayout w:type="fixed"/>
        <w:tblCellMar>
          <w:top w:w="0" w:type="dxa"/>
          <w:left w:w="0" w:type="dxa"/>
          <w:bottom w:w="0" w:type="dxa"/>
          <w:right w:w="0" w:type="dxa"/>
        </w:tblCellMar>
      </w:tblPr>
      <w:tblGrid>
        <w:gridCol w:w="4655"/>
        <w:gridCol w:w="60"/>
        <w:gridCol w:w="155"/>
        <w:gridCol w:w="757"/>
        <w:gridCol w:w="105"/>
        <w:gridCol w:w="66"/>
        <w:gridCol w:w="155"/>
        <w:gridCol w:w="757"/>
        <w:gridCol w:w="110"/>
      </w:tblGrid>
      <w:tr>
        <w:trPr/>
        <w:tc>
          <w:tcPr>
            <w:tcW w:w="46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bottom w:val="single" w:sz="8" w:space="0" w:color="000000"/>
            </w:tcBorders>
            <w:tcMar>
              <w:bottom w:w="28" w:type="dxa"/>
            </w:tcMar>
            <w:vAlign w:val="center"/>
          </w:tcPr>
          <w:p>
            <w:pPr>
              <w:pStyle w:val="TableContents"/>
              <w:bidi w:val="0"/>
              <w:spacing w:before="0" w:after="283"/>
              <w:jc w:val="center"/>
              <w:rPr/>
            </w:pPr>
            <w:r>
              <w:rPr/>
              <w:t> </w:t>
            </w:r>
            <w:bookmarkStart w:id="692" w:name="xdx_498_20250101__20251231_zqcjdQj0d3C1"/>
            <w:bookmarkEnd w:id="692"/>
          </w:p>
        </w:tc>
        <w:tc>
          <w:tcPr>
            <w:tcW w:w="757" w:type="dxa"/>
            <w:tcBorders>
              <w:bottom w:val="single" w:sz="8" w:space="0" w:color="000000"/>
            </w:tcBorders>
            <w:tcMar>
              <w:bottom w:w="28" w:type="dxa"/>
            </w:tcMar>
            <w:vAlign w:val="center"/>
          </w:tcPr>
          <w:p>
            <w:pPr>
              <w:pStyle w:val="TableContents"/>
              <w:bidi w:val="0"/>
              <w:spacing w:before="0" w:after="283"/>
              <w:jc w:val="center"/>
              <w:rPr/>
            </w:pPr>
            <w:r>
              <w:rPr/>
              <w:t> </w:t>
            </w:r>
          </w:p>
        </w:tc>
        <w:tc>
          <w:tcPr>
            <w:tcW w:w="105" w:type="dxa"/>
            <w:tcBorders>
              <w:bottom w:val="single" w:sz="8" w:space="0" w:color="000000"/>
            </w:tcBorders>
            <w:tcMar>
              <w:bottom w:w="28" w:type="dxa"/>
            </w:tcMar>
            <w:vAlign w:val="center"/>
          </w:tcPr>
          <w:p>
            <w:pPr>
              <w:pStyle w:val="TableContents"/>
              <w:bidi w:val="0"/>
              <w:spacing w:before="0" w:after="283"/>
              <w:jc w:val="center"/>
              <w:rPr/>
            </w:pPr>
            <w:r>
              <w:rPr/>
              <w:t> </w:t>
            </w:r>
          </w:p>
        </w:tc>
        <w:tc>
          <w:tcPr>
            <w:tcW w:w="66" w:type="dxa"/>
            <w:tcBorders>
              <w:bottom w:val="single" w:sz="8" w:space="0" w:color="000000"/>
            </w:tcBorders>
            <w:tcMar>
              <w:bottom w:w="28" w:type="dxa"/>
            </w:tcMar>
            <w:vAlign w:val="center"/>
          </w:tcPr>
          <w:p>
            <w:pPr>
              <w:pStyle w:val="TableContents"/>
              <w:bidi w:val="0"/>
              <w:spacing w:before="0" w:after="283"/>
              <w:jc w:val="center"/>
              <w:rPr/>
            </w:pPr>
            <w:r>
              <w:rPr/>
              <w:t> </w:t>
            </w:r>
            <w:bookmarkStart w:id="693" w:name="xdx_49F_20240101__20241231_zfi81gGZbgo9"/>
            <w:bookmarkEnd w:id="693"/>
          </w:p>
        </w:tc>
        <w:tc>
          <w:tcPr>
            <w:tcW w:w="912"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p>
        </w:tc>
      </w:tr>
      <w:tr>
        <w:trPr/>
        <w:tc>
          <w:tcPr>
            <w:tcW w:w="46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9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As of December 31,</w:t>
            </w:r>
          </w:p>
        </w:tc>
        <w:tc>
          <w:tcPr>
            <w:tcW w:w="110" w:type="dxa"/>
            <w:tcBorders/>
            <w:vAlign w:val="center"/>
          </w:tcPr>
          <w:p>
            <w:pPr>
              <w:pStyle w:val="TableContents"/>
              <w:bidi w:val="0"/>
              <w:spacing w:before="0" w:after="283"/>
              <w:jc w:val="left"/>
              <w:rPr/>
            </w:pPr>
            <w:r>
              <w:rPr/>
              <w:t> </w:t>
            </w:r>
          </w:p>
        </w:tc>
      </w:tr>
      <w:tr>
        <w:trPr/>
        <w:tc>
          <w:tcPr>
            <w:tcW w:w="46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05"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91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bookmarkStart w:id="694" w:name="xdx_40D_eus-gaap--RevenueFromContractWit"/>
            <w:bookmarkEnd w:id="694"/>
          </w:p>
        </w:tc>
      </w:tr>
      <w:tr>
        <w:trPr/>
        <w:tc>
          <w:tcPr>
            <w:tcW w:w="4655" w:type="dxa"/>
            <w:tcBorders/>
            <w:shd w:fill="CCEEFF" w:val="clear"/>
            <w:vAlign w:val="center"/>
          </w:tcPr>
          <w:p>
            <w:pPr>
              <w:pStyle w:val="TableContents"/>
              <w:bidi w:val="0"/>
              <w:spacing w:before="0" w:after="283"/>
              <w:jc w:val="left"/>
              <w:rPr/>
            </w:pPr>
            <w:r>
              <w:rPr/>
              <w:t>Total revenue</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w:t>
            </w:r>
          </w:p>
        </w:tc>
        <w:tc>
          <w:tcPr>
            <w:tcW w:w="757" w:type="dxa"/>
            <w:tcBorders/>
            <w:shd w:fill="CCEEFF" w:val="clear"/>
            <w:vAlign w:val="center"/>
          </w:tcPr>
          <w:p>
            <w:pPr>
              <w:pStyle w:val="TableContents"/>
              <w:bidi w:val="0"/>
              <w:spacing w:before="0" w:after="283"/>
              <w:jc w:val="right"/>
              <w:rPr/>
            </w:pPr>
            <w:r>
              <w:rPr/>
              <w:t>62,064</w:t>
            </w:r>
          </w:p>
        </w:tc>
        <w:tc>
          <w:tcPr>
            <w:tcW w:w="105"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w:t>
            </w:r>
          </w:p>
        </w:tc>
        <w:tc>
          <w:tcPr>
            <w:tcW w:w="757" w:type="dxa"/>
            <w:tcBorders/>
            <w:shd w:fill="CCEEFF" w:val="clear"/>
            <w:vAlign w:val="center"/>
          </w:tcPr>
          <w:p>
            <w:pPr>
              <w:pStyle w:val="TableContents"/>
              <w:bidi w:val="0"/>
              <w:spacing w:before="0" w:after="283"/>
              <w:jc w:val="right"/>
              <w:rPr/>
            </w:pPr>
            <w:r>
              <w:rPr/>
              <w:t>52,347</w:t>
            </w:r>
          </w:p>
        </w:tc>
        <w:tc>
          <w:tcPr>
            <w:tcW w:w="110" w:type="dxa"/>
            <w:tcBorders/>
            <w:shd w:fill="CCEEFF" w:val="clear"/>
            <w:vAlign w:val="center"/>
          </w:tcPr>
          <w:p>
            <w:pPr>
              <w:pStyle w:val="TableContents"/>
              <w:bidi w:val="0"/>
              <w:spacing w:before="0" w:after="283"/>
              <w:jc w:val="left"/>
              <w:rPr/>
            </w:pPr>
            <w:r>
              <w:rPr/>
              <w:t> </w:t>
            </w:r>
          </w:p>
        </w:tc>
      </w:tr>
      <w:tr>
        <w:trPr/>
        <w:tc>
          <w:tcPr>
            <w:tcW w:w="46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57" w:type="dxa"/>
            <w:tcBorders/>
            <w:shd w:fill="FFFFFF" w:val="clear"/>
            <w:vAlign w:val="center"/>
          </w:tcPr>
          <w:p>
            <w:pPr>
              <w:pStyle w:val="TableContents"/>
              <w:bidi w:val="0"/>
              <w:spacing w:before="0" w:after="283"/>
              <w:jc w:val="right"/>
              <w:rPr/>
            </w:pPr>
            <w:r>
              <w:rPr/>
              <w:t> </w:t>
            </w:r>
          </w:p>
        </w:tc>
        <w:tc>
          <w:tcPr>
            <w:tcW w:w="105"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57"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695" w:name="xdx_40E_eus-gaap--CostsAndExpenses_hus-g"/>
            <w:bookmarkEnd w:id="695"/>
          </w:p>
        </w:tc>
      </w:tr>
      <w:tr>
        <w:trPr/>
        <w:tc>
          <w:tcPr>
            <w:tcW w:w="4655" w:type="dxa"/>
            <w:tcBorders/>
            <w:shd w:fill="CCEEFF" w:val="clear"/>
            <w:vAlign w:val="center"/>
          </w:tcPr>
          <w:p>
            <w:pPr>
              <w:pStyle w:val="TableContents"/>
              <w:bidi w:val="0"/>
              <w:spacing w:before="0" w:after="283"/>
              <w:jc w:val="left"/>
              <w:rPr/>
            </w:pPr>
            <w:r>
              <w:rPr/>
              <w:t>Employee costs</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57" w:type="dxa"/>
            <w:tcBorders/>
            <w:shd w:fill="CCEEFF" w:val="clear"/>
            <w:vAlign w:val="center"/>
          </w:tcPr>
          <w:p>
            <w:pPr>
              <w:pStyle w:val="TableContents"/>
              <w:bidi w:val="0"/>
              <w:spacing w:before="0" w:after="283"/>
              <w:jc w:val="right"/>
              <w:rPr/>
            </w:pPr>
            <w:r>
              <w:rPr/>
              <w:t>14,905</w:t>
            </w:r>
          </w:p>
        </w:tc>
        <w:tc>
          <w:tcPr>
            <w:tcW w:w="105"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57" w:type="dxa"/>
            <w:tcBorders/>
            <w:shd w:fill="CCEEFF" w:val="clear"/>
            <w:vAlign w:val="center"/>
          </w:tcPr>
          <w:p>
            <w:pPr>
              <w:pStyle w:val="TableContents"/>
              <w:bidi w:val="0"/>
              <w:spacing w:before="0" w:after="283"/>
              <w:jc w:val="right"/>
              <w:rPr/>
            </w:pPr>
            <w:r>
              <w:rPr/>
              <w:t>12,933</w:t>
            </w:r>
          </w:p>
        </w:tc>
        <w:tc>
          <w:tcPr>
            <w:tcW w:w="110" w:type="dxa"/>
            <w:tcBorders/>
            <w:shd w:fill="CCEEFF" w:val="clear"/>
            <w:vAlign w:val="center"/>
          </w:tcPr>
          <w:p>
            <w:pPr>
              <w:pStyle w:val="TableContents"/>
              <w:bidi w:val="0"/>
              <w:spacing w:before="0" w:after="283"/>
              <w:jc w:val="left"/>
              <w:rPr/>
            </w:pPr>
            <w:r>
              <w:rPr/>
              <w:t> </w:t>
            </w:r>
            <w:bookmarkStart w:id="696" w:name="xdx_407_eus-gaap--CostsAndExpenses_hus-g"/>
            <w:bookmarkEnd w:id="696"/>
          </w:p>
        </w:tc>
      </w:tr>
      <w:tr>
        <w:trPr/>
        <w:tc>
          <w:tcPr>
            <w:tcW w:w="4655" w:type="dxa"/>
            <w:tcBorders/>
            <w:shd w:fill="FFFFFF" w:val="clear"/>
            <w:vAlign w:val="center"/>
          </w:tcPr>
          <w:p>
            <w:pPr>
              <w:pStyle w:val="TableContents"/>
              <w:bidi w:val="0"/>
              <w:spacing w:before="0" w:after="283"/>
              <w:jc w:val="left"/>
              <w:rPr/>
            </w:pPr>
            <w:r>
              <w:rPr/>
              <w:t>Contractors and professional services</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57" w:type="dxa"/>
            <w:tcBorders/>
            <w:shd w:fill="FFFFFF" w:val="clear"/>
            <w:vAlign w:val="center"/>
          </w:tcPr>
          <w:p>
            <w:pPr>
              <w:pStyle w:val="TableContents"/>
              <w:bidi w:val="0"/>
              <w:spacing w:before="0" w:after="283"/>
              <w:jc w:val="right"/>
              <w:rPr/>
            </w:pPr>
            <w:r>
              <w:rPr/>
              <w:t>11,566</w:t>
            </w:r>
          </w:p>
        </w:tc>
        <w:tc>
          <w:tcPr>
            <w:tcW w:w="105"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57" w:type="dxa"/>
            <w:tcBorders/>
            <w:shd w:fill="FFFFFF" w:val="clear"/>
            <w:vAlign w:val="center"/>
          </w:tcPr>
          <w:p>
            <w:pPr>
              <w:pStyle w:val="TableContents"/>
              <w:bidi w:val="0"/>
              <w:spacing w:before="0" w:after="283"/>
              <w:jc w:val="right"/>
              <w:rPr/>
            </w:pPr>
            <w:r>
              <w:rPr/>
              <w:t>7,815</w:t>
            </w:r>
          </w:p>
        </w:tc>
        <w:tc>
          <w:tcPr>
            <w:tcW w:w="110" w:type="dxa"/>
            <w:tcBorders/>
            <w:shd w:fill="FFFFFF" w:val="clear"/>
            <w:vAlign w:val="center"/>
          </w:tcPr>
          <w:p>
            <w:pPr>
              <w:pStyle w:val="TableContents"/>
              <w:bidi w:val="0"/>
              <w:spacing w:before="0" w:after="283"/>
              <w:jc w:val="left"/>
              <w:rPr/>
            </w:pPr>
            <w:r>
              <w:rPr/>
              <w:t> </w:t>
            </w:r>
            <w:bookmarkStart w:id="697" w:name="xdx_400_eus-gaap--CostsAndExpenses_hus-g"/>
            <w:bookmarkEnd w:id="697"/>
          </w:p>
        </w:tc>
      </w:tr>
      <w:tr>
        <w:trPr/>
        <w:tc>
          <w:tcPr>
            <w:tcW w:w="4655" w:type="dxa"/>
            <w:tcBorders/>
            <w:shd w:fill="CCEEFF" w:val="clear"/>
            <w:vAlign w:val="center"/>
          </w:tcPr>
          <w:p>
            <w:pPr>
              <w:pStyle w:val="TableContents"/>
              <w:bidi w:val="0"/>
              <w:spacing w:before="0" w:after="283"/>
              <w:jc w:val="left"/>
              <w:rPr/>
            </w:pPr>
            <w:r>
              <w:rPr/>
              <w:t>Materials and supplies</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57" w:type="dxa"/>
            <w:tcBorders/>
            <w:shd w:fill="CCEEFF" w:val="clear"/>
            <w:vAlign w:val="center"/>
          </w:tcPr>
          <w:p>
            <w:pPr>
              <w:pStyle w:val="TableContents"/>
              <w:bidi w:val="0"/>
              <w:spacing w:before="0" w:after="283"/>
              <w:jc w:val="right"/>
              <w:rPr/>
            </w:pPr>
            <w:r>
              <w:rPr/>
              <w:t>22,042</w:t>
            </w:r>
          </w:p>
        </w:tc>
        <w:tc>
          <w:tcPr>
            <w:tcW w:w="105"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57" w:type="dxa"/>
            <w:tcBorders/>
            <w:shd w:fill="CCEEFF" w:val="clear"/>
            <w:vAlign w:val="center"/>
          </w:tcPr>
          <w:p>
            <w:pPr>
              <w:pStyle w:val="TableContents"/>
              <w:bidi w:val="0"/>
              <w:spacing w:before="0" w:after="283"/>
              <w:jc w:val="right"/>
              <w:rPr/>
            </w:pPr>
            <w:r>
              <w:rPr/>
              <w:t>15,559</w:t>
            </w:r>
          </w:p>
        </w:tc>
        <w:tc>
          <w:tcPr>
            <w:tcW w:w="110" w:type="dxa"/>
            <w:tcBorders/>
            <w:shd w:fill="CCEEFF" w:val="clear"/>
            <w:vAlign w:val="center"/>
          </w:tcPr>
          <w:p>
            <w:pPr>
              <w:pStyle w:val="TableContents"/>
              <w:bidi w:val="0"/>
              <w:spacing w:before="0" w:after="283"/>
              <w:jc w:val="left"/>
              <w:rPr/>
            </w:pPr>
            <w:r>
              <w:rPr/>
              <w:t> </w:t>
            </w:r>
            <w:bookmarkStart w:id="698" w:name="xdx_40A_eus-gaap--CostsAndExpenses_hus-g"/>
            <w:bookmarkEnd w:id="698"/>
          </w:p>
        </w:tc>
      </w:tr>
      <w:tr>
        <w:trPr/>
        <w:tc>
          <w:tcPr>
            <w:tcW w:w="4655" w:type="dxa"/>
            <w:tcBorders/>
            <w:shd w:fill="FFFFFF" w:val="clear"/>
            <w:vAlign w:val="center"/>
          </w:tcPr>
          <w:p>
            <w:pPr>
              <w:pStyle w:val="TableContents"/>
              <w:bidi w:val="0"/>
              <w:spacing w:before="0" w:after="283"/>
              <w:jc w:val="left"/>
              <w:rPr/>
            </w:pPr>
            <w:r>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57" w:type="dxa"/>
            <w:tcBorders/>
            <w:shd w:fill="FFFFFF" w:val="clear"/>
            <w:vAlign w:val="center"/>
          </w:tcPr>
          <w:p>
            <w:pPr>
              <w:pStyle w:val="TableContents"/>
              <w:bidi w:val="0"/>
              <w:spacing w:before="0" w:after="283"/>
              <w:jc w:val="right"/>
              <w:rPr/>
            </w:pPr>
            <w:r>
              <w:rPr/>
              <w:t>897</w:t>
            </w:r>
          </w:p>
        </w:tc>
        <w:tc>
          <w:tcPr>
            <w:tcW w:w="105"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57" w:type="dxa"/>
            <w:tcBorders/>
            <w:shd w:fill="FFFFFF" w:val="clear"/>
            <w:vAlign w:val="center"/>
          </w:tcPr>
          <w:p>
            <w:pPr>
              <w:pStyle w:val="TableContents"/>
              <w:bidi w:val="0"/>
              <w:spacing w:before="0" w:after="283"/>
              <w:jc w:val="right"/>
              <w:rPr/>
            </w:pPr>
            <w:r>
              <w:rPr/>
              <w:t>928</w:t>
            </w:r>
          </w:p>
        </w:tc>
        <w:tc>
          <w:tcPr>
            <w:tcW w:w="110" w:type="dxa"/>
            <w:tcBorders/>
            <w:shd w:fill="FFFFFF" w:val="clear"/>
            <w:vAlign w:val="center"/>
          </w:tcPr>
          <w:p>
            <w:pPr>
              <w:pStyle w:val="TableContents"/>
              <w:bidi w:val="0"/>
              <w:spacing w:before="0" w:after="283"/>
              <w:jc w:val="left"/>
              <w:rPr/>
            </w:pPr>
            <w:r>
              <w:rPr/>
              <w:t> </w:t>
            </w:r>
            <w:bookmarkStart w:id="699" w:name="xdx_407_eus-gaap--CostsAndExpenses_hus-g"/>
            <w:bookmarkEnd w:id="699"/>
          </w:p>
        </w:tc>
      </w:tr>
      <w:tr>
        <w:trPr/>
        <w:tc>
          <w:tcPr>
            <w:tcW w:w="4655" w:type="dxa"/>
            <w:tcBorders/>
            <w:shd w:fill="CCEEFF" w:val="clear"/>
            <w:vAlign w:val="center"/>
          </w:tcPr>
          <w:p>
            <w:pPr>
              <w:pStyle w:val="TableContents"/>
              <w:bidi w:val="0"/>
              <w:spacing w:before="0" w:after="283"/>
              <w:jc w:val="left"/>
              <w:rPr/>
            </w:pPr>
            <w:r>
              <w:rPr/>
              <w:t>Interest expense</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57" w:type="dxa"/>
            <w:tcBorders/>
            <w:shd w:fill="CCEEFF" w:val="clear"/>
            <w:vAlign w:val="center"/>
          </w:tcPr>
          <w:p>
            <w:pPr>
              <w:pStyle w:val="TableContents"/>
              <w:bidi w:val="0"/>
              <w:spacing w:before="0" w:after="283"/>
              <w:jc w:val="right"/>
              <w:rPr/>
            </w:pPr>
            <w:r>
              <w:rPr/>
              <w:t>1,126</w:t>
            </w:r>
          </w:p>
        </w:tc>
        <w:tc>
          <w:tcPr>
            <w:tcW w:w="105"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57" w:type="dxa"/>
            <w:tcBorders/>
            <w:shd w:fill="CCEEFF" w:val="clear"/>
            <w:vAlign w:val="center"/>
          </w:tcPr>
          <w:p>
            <w:pPr>
              <w:pStyle w:val="TableContents"/>
              <w:bidi w:val="0"/>
              <w:spacing w:before="0" w:after="283"/>
              <w:jc w:val="right"/>
              <w:rPr/>
            </w:pPr>
            <w:r>
              <w:rPr/>
              <w:t>670</w:t>
            </w:r>
          </w:p>
        </w:tc>
        <w:tc>
          <w:tcPr>
            <w:tcW w:w="110" w:type="dxa"/>
            <w:tcBorders/>
            <w:shd w:fill="CCEEFF" w:val="clear"/>
            <w:vAlign w:val="center"/>
          </w:tcPr>
          <w:p>
            <w:pPr>
              <w:pStyle w:val="TableContents"/>
              <w:bidi w:val="0"/>
              <w:spacing w:before="0" w:after="283"/>
              <w:jc w:val="left"/>
              <w:rPr/>
            </w:pPr>
            <w:r>
              <w:rPr/>
              <w:t> </w:t>
            </w:r>
            <w:bookmarkStart w:id="700" w:name="xdx_40D_eus-gaap--CostsAndExpenses_hus-g"/>
            <w:bookmarkEnd w:id="700"/>
          </w:p>
        </w:tc>
      </w:tr>
      <w:tr>
        <w:trPr/>
        <w:tc>
          <w:tcPr>
            <w:tcW w:w="4655" w:type="dxa"/>
            <w:tcBorders/>
            <w:shd w:fill="FFFFFF" w:val="clear"/>
            <w:vAlign w:val="center"/>
          </w:tcPr>
          <w:p>
            <w:pPr>
              <w:pStyle w:val="TableContents"/>
              <w:bidi w:val="0"/>
              <w:spacing w:before="0" w:after="283"/>
              <w:jc w:val="left"/>
              <w:rPr/>
            </w:pPr>
            <w:r>
              <w:rPr/>
              <w:t>Other income</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57" w:type="dxa"/>
            <w:tcBorders/>
            <w:shd w:fill="FFFFFF" w:val="clear"/>
            <w:vAlign w:val="center"/>
          </w:tcPr>
          <w:p>
            <w:pPr>
              <w:pStyle w:val="TableContents"/>
              <w:bidi w:val="0"/>
              <w:spacing w:before="0" w:after="283"/>
              <w:jc w:val="right"/>
              <w:rPr/>
            </w:pPr>
            <w:r>
              <w:rPr/>
              <w:t>(1,416</w:t>
            </w:r>
          </w:p>
        </w:tc>
        <w:tc>
          <w:tcPr>
            <w:tcW w:w="105" w:type="dxa"/>
            <w:tcBorders/>
            <w:shd w:fill="FFFFFF" w:val="clear"/>
            <w:vAlign w:val="center"/>
          </w:tcPr>
          <w:p>
            <w:pPr>
              <w:pStyle w:val="TableContents"/>
              <w:bidi w:val="0"/>
              <w:spacing w:before="0" w:after="283"/>
              <w:jc w:val="left"/>
              <w:rPr/>
            </w:pPr>
            <w:r>
              <w:rPr/>
              <w:t>)</w:t>
            </w:r>
          </w:p>
        </w:tc>
        <w:tc>
          <w:tcPr>
            <w:tcW w:w="6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57" w:type="dxa"/>
            <w:tcBorders/>
            <w:shd w:fill="FFFFFF" w:val="clear"/>
            <w:vAlign w:val="center"/>
          </w:tcPr>
          <w:p>
            <w:pPr>
              <w:pStyle w:val="TableContents"/>
              <w:bidi w:val="0"/>
              <w:spacing w:before="0" w:after="283"/>
              <w:jc w:val="right"/>
              <w:rPr/>
            </w:pPr>
            <w:r>
              <w:rPr/>
              <w:t>(2</w:t>
            </w:r>
          </w:p>
        </w:tc>
        <w:tc>
          <w:tcPr>
            <w:tcW w:w="110" w:type="dxa"/>
            <w:tcBorders/>
            <w:shd w:fill="FFFFFF" w:val="clear"/>
            <w:vAlign w:val="center"/>
          </w:tcPr>
          <w:p>
            <w:pPr>
              <w:pStyle w:val="TableContents"/>
              <w:bidi w:val="0"/>
              <w:spacing w:before="0" w:after="283"/>
              <w:jc w:val="left"/>
              <w:rPr/>
            </w:pPr>
            <w:r>
              <w:rPr/>
              <w:t>)</w:t>
            </w:r>
            <w:bookmarkStart w:id="701" w:name="xdx_400_eus-gaap--CostsAndExpenses_hus-g"/>
            <w:bookmarkEnd w:id="701"/>
          </w:p>
        </w:tc>
      </w:tr>
      <w:tr>
        <w:trPr/>
        <w:tc>
          <w:tcPr>
            <w:tcW w:w="4655" w:type="dxa"/>
            <w:tcBorders/>
            <w:shd w:fill="CCEEFF" w:val="clear"/>
            <w:vAlign w:val="center"/>
          </w:tcPr>
          <w:p>
            <w:pPr>
              <w:pStyle w:val="TableContents"/>
              <w:bidi w:val="0"/>
              <w:spacing w:before="0" w:after="283"/>
              <w:jc w:val="left"/>
              <w:rPr/>
            </w:pPr>
            <w:r>
              <w:rPr/>
              <w:t>Tax expense</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57" w:type="dxa"/>
            <w:tcBorders/>
            <w:shd w:fill="CCEEFF" w:val="clear"/>
            <w:vAlign w:val="center"/>
          </w:tcPr>
          <w:p>
            <w:pPr>
              <w:pStyle w:val="TableContents"/>
              <w:bidi w:val="0"/>
              <w:spacing w:before="0" w:after="283"/>
              <w:jc w:val="right"/>
              <w:rPr/>
            </w:pPr>
            <w:r>
              <w:rPr/>
              <w:t>151</w:t>
            </w:r>
          </w:p>
        </w:tc>
        <w:tc>
          <w:tcPr>
            <w:tcW w:w="105"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57" w:type="dxa"/>
            <w:tcBorders/>
            <w:shd w:fill="CCEEFF" w:val="clear"/>
            <w:vAlign w:val="center"/>
          </w:tcPr>
          <w:p>
            <w:pPr>
              <w:pStyle w:val="TableContents"/>
              <w:bidi w:val="0"/>
              <w:spacing w:before="0" w:after="283"/>
              <w:jc w:val="right"/>
              <w:rPr/>
            </w:pPr>
            <w:r>
              <w:rPr/>
              <w:t>318</w:t>
            </w:r>
          </w:p>
        </w:tc>
        <w:tc>
          <w:tcPr>
            <w:tcW w:w="110" w:type="dxa"/>
            <w:tcBorders/>
            <w:shd w:fill="CCEEFF" w:val="clear"/>
            <w:vAlign w:val="center"/>
          </w:tcPr>
          <w:p>
            <w:pPr>
              <w:pStyle w:val="TableContents"/>
              <w:bidi w:val="0"/>
              <w:spacing w:before="0" w:after="283"/>
              <w:jc w:val="left"/>
              <w:rPr/>
            </w:pPr>
            <w:r>
              <w:rPr/>
              <w:t> </w:t>
            </w:r>
            <w:bookmarkStart w:id="702" w:name="xdx_40D_eus-gaap--CostsAndExpenses_hus-g"/>
            <w:bookmarkEnd w:id="702"/>
          </w:p>
        </w:tc>
      </w:tr>
      <w:tr>
        <w:trPr/>
        <w:tc>
          <w:tcPr>
            <w:tcW w:w="4655" w:type="dxa"/>
            <w:tcBorders/>
            <w:shd w:fill="FFFFFF" w:val="clear"/>
            <w:vAlign w:val="center"/>
          </w:tcPr>
          <w:p>
            <w:pPr>
              <w:pStyle w:val="TableContents"/>
              <w:bidi w:val="0"/>
              <w:spacing w:before="0" w:after="283"/>
              <w:jc w:val="left"/>
              <w:rPr/>
            </w:pPr>
            <w:r>
              <w:rPr/>
              <w:t>Facilities</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57" w:type="dxa"/>
            <w:tcBorders/>
            <w:shd w:fill="FFFFFF" w:val="clear"/>
            <w:vAlign w:val="center"/>
          </w:tcPr>
          <w:p>
            <w:pPr>
              <w:pStyle w:val="TableContents"/>
              <w:bidi w:val="0"/>
              <w:spacing w:before="0" w:after="283"/>
              <w:jc w:val="right"/>
              <w:rPr/>
            </w:pPr>
            <w:r>
              <w:rPr/>
              <w:t>3,905</w:t>
            </w:r>
          </w:p>
        </w:tc>
        <w:tc>
          <w:tcPr>
            <w:tcW w:w="105"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57" w:type="dxa"/>
            <w:tcBorders/>
            <w:shd w:fill="FFFFFF" w:val="clear"/>
            <w:vAlign w:val="center"/>
          </w:tcPr>
          <w:p>
            <w:pPr>
              <w:pStyle w:val="TableContents"/>
              <w:bidi w:val="0"/>
              <w:spacing w:before="0" w:after="283"/>
              <w:jc w:val="right"/>
              <w:rPr/>
            </w:pPr>
            <w:r>
              <w:rPr/>
              <w:t>3,413</w:t>
            </w:r>
          </w:p>
        </w:tc>
        <w:tc>
          <w:tcPr>
            <w:tcW w:w="110" w:type="dxa"/>
            <w:tcBorders/>
            <w:shd w:fill="FFFFFF" w:val="clear"/>
            <w:vAlign w:val="center"/>
          </w:tcPr>
          <w:p>
            <w:pPr>
              <w:pStyle w:val="TableContents"/>
              <w:bidi w:val="0"/>
              <w:spacing w:before="0" w:after="283"/>
              <w:jc w:val="left"/>
              <w:rPr/>
            </w:pPr>
            <w:r>
              <w:rPr/>
              <w:t> </w:t>
            </w:r>
            <w:bookmarkStart w:id="703" w:name="xdx_401_eus-gaap--CostsAndExpenses_hus-g"/>
            <w:bookmarkEnd w:id="703"/>
          </w:p>
        </w:tc>
      </w:tr>
      <w:tr>
        <w:trPr/>
        <w:tc>
          <w:tcPr>
            <w:tcW w:w="4655" w:type="dxa"/>
            <w:tcBorders/>
            <w:shd w:fill="CCEEFF" w:val="clear"/>
            <w:vAlign w:val="center"/>
          </w:tcPr>
          <w:p>
            <w:pPr>
              <w:pStyle w:val="TableContents"/>
              <w:bidi w:val="0"/>
              <w:spacing w:before="0" w:after="283"/>
              <w:jc w:val="left"/>
              <w:rPr/>
            </w:pPr>
            <w:r>
              <w:rPr/>
              <w:t>Shipping</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57" w:type="dxa"/>
            <w:tcBorders/>
            <w:shd w:fill="CCEEFF" w:val="clear"/>
            <w:vAlign w:val="center"/>
          </w:tcPr>
          <w:p>
            <w:pPr>
              <w:pStyle w:val="TableContents"/>
              <w:bidi w:val="0"/>
              <w:spacing w:before="0" w:after="283"/>
              <w:jc w:val="right"/>
              <w:rPr/>
            </w:pPr>
            <w:r>
              <w:rPr/>
              <w:t>1,059</w:t>
            </w:r>
          </w:p>
        </w:tc>
        <w:tc>
          <w:tcPr>
            <w:tcW w:w="105"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57" w:type="dxa"/>
            <w:tcBorders/>
            <w:shd w:fill="CCEEFF" w:val="clear"/>
            <w:vAlign w:val="center"/>
          </w:tcPr>
          <w:p>
            <w:pPr>
              <w:pStyle w:val="TableContents"/>
              <w:bidi w:val="0"/>
              <w:spacing w:before="0" w:after="283"/>
              <w:jc w:val="right"/>
              <w:rPr/>
            </w:pPr>
            <w:r>
              <w:rPr/>
              <w:t>1,193</w:t>
            </w:r>
          </w:p>
        </w:tc>
        <w:tc>
          <w:tcPr>
            <w:tcW w:w="110" w:type="dxa"/>
            <w:tcBorders/>
            <w:shd w:fill="CCEEFF" w:val="clear"/>
            <w:vAlign w:val="center"/>
          </w:tcPr>
          <w:p>
            <w:pPr>
              <w:pStyle w:val="TableContents"/>
              <w:bidi w:val="0"/>
              <w:spacing w:before="0" w:after="283"/>
              <w:jc w:val="left"/>
              <w:rPr/>
            </w:pPr>
            <w:r>
              <w:rPr/>
              <w:t> </w:t>
            </w:r>
            <w:bookmarkStart w:id="704" w:name="xdx_40D_eus-gaap--CostsAndExpenses_hus-g"/>
            <w:bookmarkEnd w:id="704"/>
          </w:p>
        </w:tc>
      </w:tr>
      <w:tr>
        <w:trPr/>
        <w:tc>
          <w:tcPr>
            <w:tcW w:w="4655" w:type="dxa"/>
            <w:tcBorders/>
            <w:shd w:fill="FFFFFF" w:val="clear"/>
            <w:vAlign w:val="center"/>
          </w:tcPr>
          <w:p>
            <w:pPr>
              <w:pStyle w:val="TableContents"/>
              <w:bidi w:val="0"/>
              <w:spacing w:before="0" w:after="283"/>
              <w:jc w:val="left"/>
              <w:rPr/>
            </w:pPr>
            <w:r>
              <w:rPr/>
              <w:t>Testing</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57" w:type="dxa"/>
            <w:tcBorders/>
            <w:shd w:fill="FFFFFF" w:val="clear"/>
            <w:vAlign w:val="center"/>
          </w:tcPr>
          <w:p>
            <w:pPr>
              <w:pStyle w:val="TableContents"/>
              <w:bidi w:val="0"/>
              <w:spacing w:before="0" w:after="283"/>
              <w:jc w:val="right"/>
              <w:rPr/>
            </w:pPr>
            <w:r>
              <w:rPr/>
              <w:t>418</w:t>
            </w:r>
          </w:p>
        </w:tc>
        <w:tc>
          <w:tcPr>
            <w:tcW w:w="105"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57" w:type="dxa"/>
            <w:tcBorders/>
            <w:shd w:fill="FFFFFF" w:val="clear"/>
            <w:vAlign w:val="center"/>
          </w:tcPr>
          <w:p>
            <w:pPr>
              <w:pStyle w:val="TableContents"/>
              <w:bidi w:val="0"/>
              <w:spacing w:before="0" w:after="283"/>
              <w:jc w:val="right"/>
              <w:rPr/>
            </w:pPr>
            <w:r>
              <w:rPr/>
              <w:t>917</w:t>
            </w:r>
          </w:p>
        </w:tc>
        <w:tc>
          <w:tcPr>
            <w:tcW w:w="110" w:type="dxa"/>
            <w:tcBorders/>
            <w:shd w:fill="FFFFFF" w:val="clear"/>
            <w:vAlign w:val="center"/>
          </w:tcPr>
          <w:p>
            <w:pPr>
              <w:pStyle w:val="TableContents"/>
              <w:bidi w:val="0"/>
              <w:spacing w:before="0" w:after="283"/>
              <w:jc w:val="left"/>
              <w:rPr/>
            </w:pPr>
            <w:r>
              <w:rPr/>
              <w:t> </w:t>
            </w:r>
            <w:bookmarkStart w:id="705" w:name="xdx_407_eus-gaap--CostsAndExpenses_hus-g"/>
            <w:bookmarkEnd w:id="705"/>
          </w:p>
        </w:tc>
      </w:tr>
      <w:tr>
        <w:trPr/>
        <w:tc>
          <w:tcPr>
            <w:tcW w:w="4655" w:type="dxa"/>
            <w:tcBorders/>
            <w:shd w:fill="CCEEFF" w:val="clear"/>
            <w:vAlign w:val="center"/>
          </w:tcPr>
          <w:p>
            <w:pPr>
              <w:pStyle w:val="TableContents"/>
              <w:bidi w:val="0"/>
              <w:spacing w:before="0" w:after="283"/>
              <w:jc w:val="left"/>
              <w:rPr/>
            </w:pPr>
            <w:r>
              <w:rPr/>
              <w:t>IT services</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57" w:type="dxa"/>
            <w:tcBorders/>
            <w:shd w:fill="CCEEFF" w:val="clear"/>
            <w:vAlign w:val="center"/>
          </w:tcPr>
          <w:p>
            <w:pPr>
              <w:pStyle w:val="TableContents"/>
              <w:bidi w:val="0"/>
              <w:spacing w:before="0" w:after="283"/>
              <w:jc w:val="right"/>
              <w:rPr/>
            </w:pPr>
            <w:r>
              <w:rPr/>
              <w:t>1,471</w:t>
            </w:r>
          </w:p>
        </w:tc>
        <w:tc>
          <w:tcPr>
            <w:tcW w:w="105"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57" w:type="dxa"/>
            <w:tcBorders/>
            <w:shd w:fill="CCEEFF" w:val="clear"/>
            <w:vAlign w:val="center"/>
          </w:tcPr>
          <w:p>
            <w:pPr>
              <w:pStyle w:val="TableContents"/>
              <w:bidi w:val="0"/>
              <w:spacing w:before="0" w:after="283"/>
              <w:jc w:val="right"/>
              <w:rPr/>
            </w:pPr>
            <w:r>
              <w:rPr/>
              <w:t>1,091</w:t>
            </w:r>
          </w:p>
        </w:tc>
        <w:tc>
          <w:tcPr>
            <w:tcW w:w="110" w:type="dxa"/>
            <w:tcBorders/>
            <w:shd w:fill="CCEEFF" w:val="clear"/>
            <w:vAlign w:val="center"/>
          </w:tcPr>
          <w:p>
            <w:pPr>
              <w:pStyle w:val="TableContents"/>
              <w:bidi w:val="0"/>
              <w:spacing w:before="0" w:after="283"/>
              <w:jc w:val="left"/>
              <w:rPr/>
            </w:pPr>
            <w:r>
              <w:rPr/>
              <w:t> </w:t>
            </w:r>
            <w:bookmarkStart w:id="706" w:name="xdx_407_eus-gaap--CostsAndExpenses_hus-g"/>
            <w:bookmarkEnd w:id="706"/>
          </w:p>
        </w:tc>
      </w:tr>
      <w:tr>
        <w:trPr/>
        <w:tc>
          <w:tcPr>
            <w:tcW w:w="4655" w:type="dxa"/>
            <w:tcBorders/>
            <w:shd w:fill="FFFFFF" w:val="clear"/>
            <w:vAlign w:val="center"/>
          </w:tcPr>
          <w:p>
            <w:pPr>
              <w:pStyle w:val="TableContents"/>
              <w:bidi w:val="0"/>
              <w:spacing w:before="0" w:after="283"/>
              <w:jc w:val="left"/>
              <w:rPr/>
            </w:pPr>
            <w:r>
              <w:rPr/>
              <w:t>Insurance</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57" w:type="dxa"/>
            <w:tcBorders/>
            <w:shd w:fill="FFFFFF" w:val="clear"/>
            <w:vAlign w:val="center"/>
          </w:tcPr>
          <w:p>
            <w:pPr>
              <w:pStyle w:val="TableContents"/>
              <w:bidi w:val="0"/>
              <w:spacing w:before="0" w:after="283"/>
              <w:jc w:val="right"/>
              <w:rPr/>
            </w:pPr>
            <w:r>
              <w:rPr/>
              <w:t>862</w:t>
            </w:r>
          </w:p>
        </w:tc>
        <w:tc>
          <w:tcPr>
            <w:tcW w:w="105"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57" w:type="dxa"/>
            <w:tcBorders/>
            <w:shd w:fill="FFFFFF" w:val="clear"/>
            <w:vAlign w:val="center"/>
          </w:tcPr>
          <w:p>
            <w:pPr>
              <w:pStyle w:val="TableContents"/>
              <w:bidi w:val="0"/>
              <w:spacing w:before="0" w:after="283"/>
              <w:jc w:val="right"/>
              <w:rPr/>
            </w:pPr>
            <w:r>
              <w:rPr/>
              <w:t>785</w:t>
            </w:r>
          </w:p>
        </w:tc>
        <w:tc>
          <w:tcPr>
            <w:tcW w:w="110" w:type="dxa"/>
            <w:tcBorders/>
            <w:shd w:fill="FFFFFF" w:val="clear"/>
            <w:vAlign w:val="center"/>
          </w:tcPr>
          <w:p>
            <w:pPr>
              <w:pStyle w:val="TableContents"/>
              <w:bidi w:val="0"/>
              <w:spacing w:before="0" w:after="283"/>
              <w:jc w:val="left"/>
              <w:rPr/>
            </w:pPr>
            <w:r>
              <w:rPr/>
              <w:t> </w:t>
            </w:r>
            <w:bookmarkStart w:id="707" w:name="xdx_407_eus-gaap--CostsAndExpenses_hus-g"/>
            <w:bookmarkEnd w:id="707"/>
          </w:p>
        </w:tc>
      </w:tr>
      <w:tr>
        <w:trPr/>
        <w:tc>
          <w:tcPr>
            <w:tcW w:w="4655" w:type="dxa"/>
            <w:tcBorders/>
            <w:shd w:fill="CCEEFF" w:val="clear"/>
            <w:vAlign w:val="center"/>
          </w:tcPr>
          <w:p>
            <w:pPr>
              <w:pStyle w:val="TableContents"/>
              <w:bidi w:val="0"/>
              <w:spacing w:before="0" w:after="283"/>
              <w:jc w:val="left"/>
              <w:rPr/>
            </w:pPr>
            <w:r>
              <w:rPr/>
              <w:t>Manufacturing other expense</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57" w:type="dxa"/>
            <w:tcBorders/>
            <w:shd w:fill="CCEEFF" w:val="clear"/>
            <w:vAlign w:val="center"/>
          </w:tcPr>
          <w:p>
            <w:pPr>
              <w:pStyle w:val="TableContents"/>
              <w:bidi w:val="0"/>
              <w:spacing w:before="0" w:after="283"/>
              <w:jc w:val="right"/>
              <w:rPr/>
            </w:pPr>
            <w:r>
              <w:rPr/>
              <w:t>1,064</w:t>
            </w:r>
          </w:p>
        </w:tc>
        <w:tc>
          <w:tcPr>
            <w:tcW w:w="105"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57" w:type="dxa"/>
            <w:tcBorders/>
            <w:shd w:fill="CCEEFF" w:val="clear"/>
            <w:vAlign w:val="center"/>
          </w:tcPr>
          <w:p>
            <w:pPr>
              <w:pStyle w:val="TableContents"/>
              <w:bidi w:val="0"/>
              <w:spacing w:before="0" w:after="283"/>
              <w:jc w:val="right"/>
              <w:rPr/>
            </w:pPr>
            <w:r>
              <w:rPr/>
              <w:t>992</w:t>
            </w:r>
          </w:p>
        </w:tc>
        <w:tc>
          <w:tcPr>
            <w:tcW w:w="110" w:type="dxa"/>
            <w:tcBorders/>
            <w:shd w:fill="CCEEFF" w:val="clear"/>
            <w:vAlign w:val="center"/>
          </w:tcPr>
          <w:p>
            <w:pPr>
              <w:pStyle w:val="TableContents"/>
              <w:bidi w:val="0"/>
              <w:spacing w:before="0" w:after="283"/>
              <w:jc w:val="left"/>
              <w:rPr/>
            </w:pPr>
            <w:r>
              <w:rPr/>
              <w:t> </w:t>
            </w:r>
            <w:bookmarkStart w:id="708" w:name="xdx_405_eus-gaap--CostsAndExpenses_hus-g"/>
            <w:bookmarkEnd w:id="708"/>
          </w:p>
        </w:tc>
      </w:tr>
      <w:tr>
        <w:trPr/>
        <w:tc>
          <w:tcPr>
            <w:tcW w:w="4655" w:type="dxa"/>
            <w:tcBorders/>
            <w:shd w:fill="FFFFFF" w:val="clear"/>
            <w:vAlign w:val="center"/>
          </w:tcPr>
          <w:p>
            <w:pPr>
              <w:pStyle w:val="TableContents"/>
              <w:bidi w:val="0"/>
              <w:spacing w:before="0" w:after="283"/>
              <w:jc w:val="left"/>
              <w:rPr/>
            </w:pPr>
            <w:r>
              <w:rPr/>
              <w:t>Selling, general and administrative other expense</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7" w:type="dxa"/>
            <w:tcBorders>
              <w:bottom w:val="single" w:sz="8" w:space="0" w:color="000000"/>
            </w:tcBorders>
            <w:shd w:fill="FFFFFF" w:val="clear"/>
            <w:tcMar>
              <w:bottom w:w="28" w:type="dxa"/>
            </w:tcMar>
            <w:vAlign w:val="center"/>
          </w:tcPr>
          <w:p>
            <w:pPr>
              <w:pStyle w:val="TableContents"/>
              <w:bidi w:val="0"/>
              <w:spacing w:before="0" w:after="283"/>
              <w:jc w:val="right"/>
              <w:rPr/>
            </w:pPr>
            <w:r>
              <w:rPr/>
              <w:t>2,224</w:t>
            </w:r>
          </w:p>
        </w:tc>
        <w:tc>
          <w:tcPr>
            <w:tcW w:w="105"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7" w:type="dxa"/>
            <w:tcBorders>
              <w:bottom w:val="single" w:sz="8" w:space="0" w:color="000000"/>
            </w:tcBorders>
            <w:shd w:fill="FFFFFF" w:val="clear"/>
            <w:tcMar>
              <w:bottom w:w="28" w:type="dxa"/>
            </w:tcMar>
            <w:vAlign w:val="center"/>
          </w:tcPr>
          <w:p>
            <w:pPr>
              <w:pStyle w:val="TableContents"/>
              <w:bidi w:val="0"/>
              <w:spacing w:before="0" w:after="283"/>
              <w:jc w:val="right"/>
              <w:rPr/>
            </w:pPr>
            <w:r>
              <w:rPr/>
              <w:t>1,500</w:t>
            </w:r>
          </w:p>
        </w:tc>
        <w:tc>
          <w:tcPr>
            <w:tcW w:w="110" w:type="dxa"/>
            <w:tcBorders/>
            <w:shd w:fill="FFFFFF" w:val="clear"/>
            <w:vAlign w:val="center"/>
          </w:tcPr>
          <w:p>
            <w:pPr>
              <w:pStyle w:val="TableContents"/>
              <w:bidi w:val="0"/>
              <w:spacing w:before="0" w:after="283"/>
              <w:jc w:val="left"/>
              <w:rPr/>
            </w:pPr>
            <w:r>
              <w:rPr/>
              <w:t> </w:t>
            </w:r>
            <w:bookmarkStart w:id="709" w:name="xdx_402_eus-gaap--CostsAndExpenses_zr1oG"/>
            <w:bookmarkEnd w:id="709"/>
          </w:p>
        </w:tc>
      </w:tr>
      <w:tr>
        <w:trPr/>
        <w:tc>
          <w:tcPr>
            <w:tcW w:w="4655" w:type="dxa"/>
            <w:tcBorders/>
            <w:shd w:fill="CCEEFF" w:val="clear"/>
            <w:vAlign w:val="center"/>
          </w:tcPr>
          <w:p>
            <w:pPr>
              <w:pStyle w:val="TableContents"/>
              <w:bidi w:val="0"/>
              <w:spacing w:before="0" w:after="283"/>
              <w:jc w:val="right"/>
              <w:rPr/>
            </w:pPr>
            <w:r>
              <w:rPr/>
              <w:t>Total Expense</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57" w:type="dxa"/>
            <w:tcBorders/>
            <w:shd w:fill="CCEEFF" w:val="clear"/>
            <w:vAlign w:val="center"/>
          </w:tcPr>
          <w:p>
            <w:pPr>
              <w:pStyle w:val="TableContents"/>
              <w:bidi w:val="0"/>
              <w:spacing w:before="0" w:after="283"/>
              <w:jc w:val="right"/>
              <w:rPr/>
            </w:pPr>
            <w:r>
              <w:rPr/>
              <w:t>60,274</w:t>
            </w:r>
          </w:p>
        </w:tc>
        <w:tc>
          <w:tcPr>
            <w:tcW w:w="105"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57" w:type="dxa"/>
            <w:tcBorders/>
            <w:shd w:fill="CCEEFF" w:val="clear"/>
            <w:vAlign w:val="center"/>
          </w:tcPr>
          <w:p>
            <w:pPr>
              <w:pStyle w:val="TableContents"/>
              <w:bidi w:val="0"/>
              <w:spacing w:before="0" w:after="283"/>
              <w:jc w:val="right"/>
              <w:rPr/>
            </w:pPr>
            <w:r>
              <w:rPr/>
              <w:t>48,112</w:t>
            </w:r>
          </w:p>
        </w:tc>
        <w:tc>
          <w:tcPr>
            <w:tcW w:w="110" w:type="dxa"/>
            <w:tcBorders/>
            <w:shd w:fill="CCEEFF" w:val="clear"/>
            <w:vAlign w:val="center"/>
          </w:tcPr>
          <w:p>
            <w:pPr>
              <w:pStyle w:val="TableContents"/>
              <w:bidi w:val="0"/>
              <w:spacing w:before="0" w:after="283"/>
              <w:jc w:val="left"/>
              <w:rPr/>
            </w:pPr>
            <w:r>
              <w:rPr/>
              <w:t> </w:t>
            </w:r>
          </w:p>
        </w:tc>
      </w:tr>
      <w:tr>
        <w:trPr/>
        <w:tc>
          <w:tcPr>
            <w:tcW w:w="46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57" w:type="dxa"/>
            <w:tcBorders/>
            <w:shd w:fill="FFFFFF" w:val="clear"/>
            <w:vAlign w:val="center"/>
          </w:tcPr>
          <w:p>
            <w:pPr>
              <w:pStyle w:val="TableContents"/>
              <w:bidi w:val="0"/>
              <w:spacing w:before="0" w:after="283"/>
              <w:jc w:val="right"/>
              <w:rPr/>
            </w:pPr>
            <w:r>
              <w:rPr/>
              <w:t> </w:t>
            </w:r>
          </w:p>
        </w:tc>
        <w:tc>
          <w:tcPr>
            <w:tcW w:w="105"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57"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710" w:name="xdx_401_eus-gaap--NetIncomeLoss_zmHX8Csr"/>
            <w:bookmarkEnd w:id="710"/>
          </w:p>
        </w:tc>
      </w:tr>
      <w:tr>
        <w:trPr/>
        <w:tc>
          <w:tcPr>
            <w:tcW w:w="4655" w:type="dxa"/>
            <w:tcBorders/>
            <w:shd w:fill="CCEEFF" w:val="clear"/>
            <w:vAlign w:val="center"/>
          </w:tcPr>
          <w:p>
            <w:pPr>
              <w:pStyle w:val="TableContents"/>
              <w:bidi w:val="0"/>
              <w:spacing w:before="0" w:after="283"/>
              <w:jc w:val="right"/>
              <w:rPr/>
            </w:pPr>
            <w:r>
              <w:rPr/>
              <w:t>Net Income</w:t>
            </w:r>
          </w:p>
        </w:tc>
        <w:tc>
          <w:tcPr>
            <w:tcW w:w="60" w:type="dxa"/>
            <w:tcBorders/>
            <w:shd w:fill="CCEEFF" w:val="clear"/>
            <w:vAlign w:val="center"/>
          </w:tcPr>
          <w:p>
            <w:pPr>
              <w:pStyle w:val="TableContents"/>
              <w:bidi w:val="0"/>
              <w:spacing w:before="0" w:after="283"/>
              <w:jc w:val="left"/>
              <w:rPr/>
            </w:pPr>
            <w:r>
              <w:rPr/>
              <w:t> </w:t>
            </w:r>
          </w:p>
        </w:tc>
        <w:tc>
          <w:tcPr>
            <w:tcW w:w="15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7" w:type="dxa"/>
            <w:tcBorders>
              <w:bottom w:val="double" w:sz="6" w:space="0" w:color="000000"/>
            </w:tcBorders>
            <w:shd w:fill="CCEEFF" w:val="clear"/>
            <w:tcMar>
              <w:bottom w:w="28" w:type="dxa"/>
            </w:tcMar>
            <w:vAlign w:val="center"/>
          </w:tcPr>
          <w:p>
            <w:pPr>
              <w:pStyle w:val="TableContents"/>
              <w:bidi w:val="0"/>
              <w:spacing w:before="0" w:after="283"/>
              <w:jc w:val="right"/>
              <w:rPr/>
            </w:pPr>
            <w:r>
              <w:rPr/>
              <w:t>1,790</w:t>
            </w:r>
          </w:p>
        </w:tc>
        <w:tc>
          <w:tcPr>
            <w:tcW w:w="105"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7" w:type="dxa"/>
            <w:tcBorders>
              <w:bottom w:val="double" w:sz="6" w:space="0" w:color="000000"/>
            </w:tcBorders>
            <w:shd w:fill="CCEEFF" w:val="clear"/>
            <w:tcMar>
              <w:bottom w:w="28" w:type="dxa"/>
            </w:tcMar>
            <w:vAlign w:val="center"/>
          </w:tcPr>
          <w:p>
            <w:pPr>
              <w:pStyle w:val="TableContents"/>
              <w:bidi w:val="0"/>
              <w:spacing w:before="0" w:after="283"/>
              <w:jc w:val="right"/>
              <w:rPr/>
            </w:pPr>
            <w:r>
              <w:rPr/>
              <w:t>4,235</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bookmarkStart w:id="711" w:name="xdx_8A7_zCHTIOIbAohe"/>
      <w:bookmarkEnd w:id="711"/>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Revenue from international sources approximated </w:t>
      </w:r>
      <w:bookmarkStart w:id="712" w:name="xdx_90D_eus-gaap--Revenues_pn3n3_c202501"/>
      <w:bookmarkEnd w:id="712"/>
      <w:r>
        <w:rPr>
          <w:rFonts w:ascii="Times New Roman;Times;Serif" w:hAnsi="Times New Roman;Times;Serif"/>
          <w:b w:val="false"/>
          <w:i w:val="false"/>
          <w:caps w:val="false"/>
          <w:smallCaps w:val="false"/>
          <w:sz w:val="20"/>
        </w:rPr>
        <w:t xml:space="preserve">$5,169 and </w:t>
      </w:r>
      <w:bookmarkStart w:id="713" w:name="xdx_907_eus-gaap--Revenues_pn3n3_c202401"/>
      <w:bookmarkEnd w:id="713"/>
      <w:r>
        <w:rPr>
          <w:rFonts w:ascii="Times New Roman;Times;Serif" w:hAnsi="Times New Roman;Times;Serif"/>
          <w:b w:val="false"/>
          <w:i w:val="false"/>
          <w:caps w:val="false"/>
          <w:smallCaps w:val="false"/>
          <w:sz w:val="20"/>
        </w:rPr>
        <w:t xml:space="preserve">$1,825 for the years ended December 31, 2025 and 2024, respectively. As part of our revenue from international sources, we recognized approximately </w:t>
      </w:r>
      <w:bookmarkStart w:id="714" w:name="xdx_90E_eus-gaap--Revenues_pn3n3_c202501"/>
      <w:bookmarkEnd w:id="714"/>
      <w:r>
        <w:rPr>
          <w:rFonts w:ascii="Times New Roman;Times;Serif" w:hAnsi="Times New Roman;Times;Serif"/>
          <w:b w:val="false"/>
          <w:i w:val="false"/>
          <w:caps w:val="false"/>
          <w:smallCaps w:val="false"/>
          <w:sz w:val="20"/>
        </w:rPr>
        <w:t xml:space="preserve">$3,326 and </w:t>
      </w:r>
      <w:bookmarkStart w:id="715" w:name="xdx_909_eus-gaap--Revenues_pn3n3_c202401"/>
      <w:bookmarkEnd w:id="715"/>
      <w:r>
        <w:rPr>
          <w:rFonts w:ascii="Times New Roman;Times;Serif" w:hAnsi="Times New Roman;Times;Serif"/>
          <w:b w:val="false"/>
          <w:i w:val="false"/>
          <w:caps w:val="false"/>
          <w:smallCaps w:val="false"/>
          <w:sz w:val="20"/>
        </w:rPr>
        <w:t>$616 in product revenue from United Kingdom companies, in the aggregate, for the years ended December 31, 2025 and 2024,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F-20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bookmarkStart w:id="716" w:name="xdx_892_eus-gaap--DisaggregationOfRevenu"/>
      <w:bookmarkEnd w:id="716"/>
      <w:r>
        <w:rPr>
          <w:rFonts w:ascii="Times New Roman;Times;Serif" w:hAnsi="Times New Roman;Times;Serif"/>
          <w:b w:val="false"/>
          <w:i w:val="false"/>
          <w:caps w:val="false"/>
          <w:smallCaps w:val="false"/>
          <w:sz w:val="20"/>
        </w:rPr>
        <w:t xml:space="preserve">Our operations comprise a single business segment and all of our long-lived assets are located within the United States. We categorize our revenue stream into three main product categories, personal care ingredients, advanced materials and consumer products. </w:t>
      </w:r>
      <w:bookmarkStart w:id="717" w:name="xdx_8B8_zTts476y1f9f"/>
      <w:bookmarkEnd w:id="717"/>
      <w:r>
        <w:rPr>
          <w:rFonts w:ascii="Times New Roman;Times;Serif" w:hAnsi="Times New Roman;Times;Serif"/>
          <w:b w:val="false"/>
          <w:i w:val="false"/>
          <w:caps w:val="false"/>
          <w:smallCaps w:val="false"/>
          <w:sz w:val="20"/>
        </w:rPr>
        <w:t>The revenues for 2025 and 2024 by category are as follows:</w:t>
      </w:r>
    </w:p>
    <w:p>
      <w:pPr>
        <w:pStyle w:val="TextBody"/>
        <w:bidi w:val="0"/>
        <w:spacing w:before="0" w:after="0"/>
        <w:ind w:left="0" w:right="0" w:firstLine="720"/>
        <w:jc w:val="both"/>
        <w:rPr>
          <w:caps w:val="false"/>
          <w:smallCaps w:val="false"/>
        </w:rPr>
      </w:pPr>
      <w:r>
        <w:rPr>
          <w:caps w:val="false"/>
          <w:smallCaps w:val="false"/>
        </w:rPr>
        <w:t> </w:t>
      </w:r>
    </w:p>
    <w:tbl>
      <w:tblPr>
        <w:tblW w:w="4360" w:type="dxa"/>
        <w:jc w:val="left"/>
        <w:tblInd w:w="0" w:type="dxa"/>
        <w:tblLayout w:type="fixed"/>
        <w:tblCellMar>
          <w:top w:w="0" w:type="dxa"/>
          <w:left w:w="0" w:type="dxa"/>
          <w:bottom w:w="0" w:type="dxa"/>
          <w:right w:w="0" w:type="dxa"/>
        </w:tblCellMar>
      </w:tblPr>
      <w:tblGrid>
        <w:gridCol w:w="2465"/>
        <w:gridCol w:w="60"/>
        <w:gridCol w:w="140"/>
        <w:gridCol w:w="680"/>
        <w:gridCol w:w="60"/>
        <w:gridCol w:w="60"/>
        <w:gridCol w:w="140"/>
        <w:gridCol w:w="680"/>
        <w:gridCol w:w="75"/>
      </w:tblGrid>
      <w:tr>
        <w:trPr/>
        <w:tc>
          <w:tcPr>
            <w:tcW w:w="24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60"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years ended </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December 31</w:t>
            </w:r>
            <w:r>
              <w:rPr>
                <w:rFonts w:ascii="Times New Roman;Times;Serif" w:hAnsi="Times New Roman;Times;Serif"/>
                <w:b w:val="false"/>
                <w:i w:val="false"/>
                <w:caps w:val="false"/>
                <w:smallCaps w:val="false"/>
                <w:sz w:val="20"/>
              </w:rPr>
              <w:t> </w:t>
            </w:r>
          </w:p>
        </w:tc>
        <w:tc>
          <w:tcPr>
            <w:tcW w:w="75" w:type="dxa"/>
            <w:tcBorders/>
            <w:vAlign w:val="center"/>
          </w:tcPr>
          <w:p>
            <w:pPr>
              <w:pStyle w:val="TableContents"/>
              <w:bidi w:val="0"/>
              <w:spacing w:before="0" w:after="283"/>
              <w:jc w:val="left"/>
              <w:rPr/>
            </w:pPr>
            <w:r>
              <w:rPr/>
              <w:t> </w:t>
            </w:r>
          </w:p>
        </w:tc>
      </w:tr>
      <w:tr>
        <w:trPr/>
        <w:tc>
          <w:tcPr>
            <w:tcW w:w="2465" w:type="dxa"/>
            <w:tcBorders>
              <w:bottom w:val="single" w:sz="8" w:space="0" w:color="000000"/>
            </w:tcBorders>
            <w:tcMar>
              <w:bottom w:w="28" w:type="dxa"/>
            </w:tcMar>
            <w:vAlign w:val="center"/>
          </w:tcPr>
          <w:p>
            <w:pPr>
              <w:pStyle w:val="TableContents"/>
              <w:bidi w:val="0"/>
              <w:spacing w:before="0" w:after="283"/>
              <w:jc w:val="left"/>
              <w:rPr>
                <w:b/>
              </w:rPr>
            </w:pPr>
            <w:r>
              <w:rPr>
                <w:b/>
              </w:rPr>
              <w:t>Product Category</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2465" w:type="dxa"/>
            <w:tcBorders/>
            <w:shd w:fill="CCEEFF" w:val="clear"/>
            <w:vAlign w:val="center"/>
          </w:tcPr>
          <w:p>
            <w:pPr>
              <w:pStyle w:val="TableContents"/>
              <w:bidi w:val="0"/>
              <w:spacing w:before="0" w:after="283"/>
              <w:jc w:val="left"/>
              <w:rPr/>
            </w:pPr>
            <w:r>
              <w:rPr/>
              <w:t>Consumer Products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718" w:name="xdx_986_eus-gaap--RevenueFromContractWit"/>
            <w:bookmarkEnd w:id="718"/>
          </w:p>
        </w:tc>
        <w:tc>
          <w:tcPr>
            <w:tcW w:w="680" w:type="dxa"/>
            <w:tcBorders/>
            <w:shd w:fill="CCEEFF" w:val="clear"/>
            <w:vAlign w:val="center"/>
          </w:tcPr>
          <w:p>
            <w:pPr>
              <w:pStyle w:val="TableContents"/>
              <w:bidi w:val="0"/>
              <w:spacing w:before="0" w:after="283"/>
              <w:jc w:val="right"/>
              <w:rPr/>
            </w:pPr>
            <w:r>
              <w:rPr/>
              <w:t>54,868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719" w:name="xdx_984_eus-gaap--RevenueFromContractWit"/>
            <w:bookmarkEnd w:id="719"/>
          </w:p>
        </w:tc>
        <w:tc>
          <w:tcPr>
            <w:tcW w:w="680" w:type="dxa"/>
            <w:tcBorders/>
            <w:shd w:fill="CCEEFF" w:val="clear"/>
            <w:vAlign w:val="center"/>
          </w:tcPr>
          <w:p>
            <w:pPr>
              <w:pStyle w:val="TableContents"/>
              <w:bidi w:val="0"/>
              <w:spacing w:before="0" w:after="283"/>
              <w:jc w:val="right"/>
              <w:rPr/>
            </w:pPr>
            <w:r>
              <w:rPr/>
              <w:t>44,373</w:t>
            </w:r>
          </w:p>
        </w:tc>
        <w:tc>
          <w:tcPr>
            <w:tcW w:w="75" w:type="dxa"/>
            <w:tcBorders/>
            <w:shd w:fill="CCEEFF" w:val="clear"/>
            <w:vAlign w:val="center"/>
          </w:tcPr>
          <w:p>
            <w:pPr>
              <w:pStyle w:val="TableContents"/>
              <w:bidi w:val="0"/>
              <w:spacing w:before="0" w:after="283"/>
              <w:jc w:val="left"/>
              <w:rPr/>
            </w:pPr>
            <w:r>
              <w:rPr/>
              <w:t> </w:t>
            </w:r>
          </w:p>
        </w:tc>
      </w:tr>
      <w:tr>
        <w:trPr/>
        <w:tc>
          <w:tcPr>
            <w:tcW w:w="2465" w:type="dxa"/>
            <w:tcBorders/>
            <w:shd w:fill="FFFFFF" w:val="clear"/>
            <w:vAlign w:val="center"/>
          </w:tcPr>
          <w:p>
            <w:pPr>
              <w:pStyle w:val="TableContents"/>
              <w:bidi w:val="0"/>
              <w:spacing w:before="0" w:after="283"/>
              <w:jc w:val="left"/>
              <w:rPr/>
            </w:pPr>
            <w:r>
              <w:rPr/>
              <w:t>Personal Care Ingredients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720" w:name="xdx_989_eus-gaap--RevenueFromContractWit"/>
            <w:bookmarkEnd w:id="720"/>
          </w:p>
        </w:tc>
        <w:tc>
          <w:tcPr>
            <w:tcW w:w="680" w:type="dxa"/>
            <w:tcBorders/>
            <w:shd w:fill="FFFFFF" w:val="clear"/>
            <w:vAlign w:val="center"/>
          </w:tcPr>
          <w:p>
            <w:pPr>
              <w:pStyle w:val="TableContents"/>
              <w:bidi w:val="0"/>
              <w:spacing w:before="0" w:after="283"/>
              <w:jc w:val="right"/>
              <w:rPr/>
            </w:pPr>
            <w:r>
              <w:rPr/>
              <w:t>6,339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721" w:name="xdx_98D_eus-gaap--RevenueFromContractWit"/>
            <w:bookmarkEnd w:id="721"/>
          </w:p>
        </w:tc>
        <w:tc>
          <w:tcPr>
            <w:tcW w:w="680" w:type="dxa"/>
            <w:tcBorders/>
            <w:shd w:fill="FFFFFF" w:val="clear"/>
            <w:vAlign w:val="center"/>
          </w:tcPr>
          <w:p>
            <w:pPr>
              <w:pStyle w:val="TableContents"/>
              <w:bidi w:val="0"/>
              <w:spacing w:before="0" w:after="283"/>
              <w:jc w:val="right"/>
              <w:rPr/>
            </w:pPr>
            <w:r>
              <w:rPr/>
              <w:t>6,827</w:t>
            </w:r>
          </w:p>
        </w:tc>
        <w:tc>
          <w:tcPr>
            <w:tcW w:w="75" w:type="dxa"/>
            <w:tcBorders/>
            <w:shd w:fill="FFFFFF" w:val="clear"/>
            <w:vAlign w:val="center"/>
          </w:tcPr>
          <w:p>
            <w:pPr>
              <w:pStyle w:val="TableContents"/>
              <w:bidi w:val="0"/>
              <w:spacing w:before="0" w:after="283"/>
              <w:jc w:val="left"/>
              <w:rPr/>
            </w:pPr>
            <w:r>
              <w:rPr/>
              <w:t> </w:t>
            </w:r>
          </w:p>
        </w:tc>
      </w:tr>
      <w:tr>
        <w:trPr/>
        <w:tc>
          <w:tcPr>
            <w:tcW w:w="2465" w:type="dxa"/>
            <w:tcBorders/>
            <w:shd w:fill="CCEEFF" w:val="clear"/>
            <w:vAlign w:val="center"/>
          </w:tcPr>
          <w:p>
            <w:pPr>
              <w:pStyle w:val="TableContents"/>
              <w:bidi w:val="0"/>
              <w:spacing w:before="0" w:after="283"/>
              <w:jc w:val="left"/>
              <w:rPr/>
            </w:pPr>
            <w:r>
              <w:rPr/>
              <w:t>Advanced Materials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722" w:name="xdx_983_eus-gaap--RevenueFromContractWit"/>
            <w:bookmarkEnd w:id="722"/>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857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723" w:name="xdx_980_eus-gaap--RevenueFromContractWit"/>
            <w:bookmarkEnd w:id="723"/>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1,147</w:t>
            </w:r>
          </w:p>
        </w:tc>
        <w:tc>
          <w:tcPr>
            <w:tcW w:w="75" w:type="dxa"/>
            <w:tcBorders/>
            <w:shd w:fill="CCEEFF" w:val="clear"/>
            <w:vAlign w:val="center"/>
          </w:tcPr>
          <w:p>
            <w:pPr>
              <w:pStyle w:val="TableContents"/>
              <w:bidi w:val="0"/>
              <w:spacing w:before="0" w:after="283"/>
              <w:jc w:val="left"/>
              <w:rPr/>
            </w:pPr>
            <w:r>
              <w:rPr/>
              <w:t> </w:t>
            </w:r>
          </w:p>
        </w:tc>
      </w:tr>
      <w:tr>
        <w:trPr/>
        <w:tc>
          <w:tcPr>
            <w:tcW w:w="2465" w:type="dxa"/>
            <w:tcBorders/>
            <w:shd w:fill="FFFFFF" w:val="clear"/>
            <w:vAlign w:val="center"/>
          </w:tcPr>
          <w:p>
            <w:pPr>
              <w:pStyle w:val="TableContents"/>
              <w:bidi w:val="0"/>
              <w:spacing w:before="0" w:after="283"/>
              <w:jc w:val="left"/>
              <w:rPr/>
            </w:pPr>
            <w:r>
              <w:rPr/>
              <w:t>Total Sales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724" w:name="xdx_98C_eus-gaap--RevenueFromContractWit"/>
            <w:bookmarkEnd w:id="724"/>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62,064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725" w:name="xdx_98C_eus-gaap--RevenueFromContractWit"/>
            <w:bookmarkEnd w:id="725"/>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52,347</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bookmarkStart w:id="726" w:name="xdx_8AB_zvwqlCPaP8C3"/>
      <w:bookmarkEnd w:id="726"/>
      <w:r>
        <w:rPr/>
        <w:t> </w:t>
      </w:r>
    </w:p>
    <w:p>
      <w:pPr>
        <w:pStyle w:val="TextBody"/>
        <w:bidi w:val="0"/>
        <w:spacing w:before="0" w:after="0"/>
        <w:ind w:left="0" w:right="0" w:hanging="0"/>
        <w:jc w:val="both"/>
        <w:rPr>
          <w:caps w:val="false"/>
          <w:smallCaps w:val="false"/>
        </w:rPr>
      </w:pPr>
      <w:bookmarkStart w:id="727" w:name="xdx_811_zbTp7PBskF7g"/>
      <w:bookmarkEnd w:id="727"/>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28" w:name="xdx_80B_eus-gaap--CommitmentsAndContinge"/>
      <w:bookmarkEnd w:id="728"/>
      <w:r>
        <w:rPr>
          <w:rFonts w:ascii="Times New Roman;Times;Serif" w:hAnsi="Times New Roman;Times;Serif"/>
          <w:b/>
          <w:i w:val="false"/>
          <w:caps w:val="false"/>
          <w:smallCaps w:val="false"/>
          <w:sz w:val="20"/>
        </w:rPr>
        <w:t xml:space="preserve">(14) </w:t>
      </w:r>
      <w:bookmarkStart w:id="729" w:name="xdx_828_zhcTbqn3jeZ9"/>
      <w:bookmarkEnd w:id="729"/>
      <w:r>
        <w:rPr>
          <w:rFonts w:ascii="Times New Roman;Times;Serif" w:hAnsi="Times New Roman;Times;Serif"/>
          <w:b/>
          <w:i w:val="false"/>
          <w:caps w:val="false"/>
          <w:smallCaps w:val="false"/>
          <w:sz w:val="20"/>
        </w:rPr>
        <w:t>Contingencies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2025, the Company received a payment of $</w:t>
      </w:r>
      <w:bookmarkStart w:id="730" w:name="xdx_904_eus-gaap--GovernmentAssistanceAw"/>
      <w:bookmarkEnd w:id="730"/>
      <w:r>
        <w:rPr>
          <w:rFonts w:ascii="Times New Roman;Times;Serif" w:hAnsi="Times New Roman;Times;Serif"/>
          <w:b w:val="false"/>
          <w:i w:val="false"/>
          <w:caps w:val="false"/>
          <w:smallCaps w:val="false"/>
          <w:sz w:val="20"/>
        </w:rPr>
        <w:t>1,729 from the U.S. Department of the Treasury under the Employee Retention Credit (ERC) program, along with $</w:t>
      </w:r>
      <w:bookmarkStart w:id="731" w:name="xdx_904_eus-gaap--ProceedsFromInterestRe"/>
      <w:bookmarkEnd w:id="731"/>
      <w:r>
        <w:rPr>
          <w:rFonts w:ascii="Times New Roman;Times;Serif" w:hAnsi="Times New Roman;Times;Serif"/>
          <w:b w:val="false"/>
          <w:i w:val="false"/>
          <w:caps w:val="false"/>
          <w:smallCaps w:val="false"/>
          <w:sz w:val="20"/>
        </w:rPr>
        <w:t>272 in interest related to the delayed payment. The ERC is a refundable payroll tax credit made available under the Coronavirus Aid, Relief, and Economic Security Act (CARES Act) and subsequent legislation.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prior periods, the Company concluded that recognition of the ERC as an asset and related income was not appropriate under U.S. GAAP because realization was not considered probable. Specifically, due to uncertainties regarding the timing, amount, and ultimate approval of the credit by the Internal Revenue Service (IRS), the ERC was evaluated as a gain contingency in accordance with ASC 450-30, </w:t>
      </w:r>
      <w:r>
        <w:rPr>
          <w:rFonts w:ascii="Times New Roman;Times;Serif" w:hAnsi="Times New Roman;Times;Serif"/>
          <w:b w:val="false"/>
          <w:i/>
          <w:caps w:val="false"/>
          <w:smallCaps w:val="false"/>
          <w:sz w:val="20"/>
        </w:rPr>
        <w:t>Contingencies – Gain Contingencies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of 2025, the contingency was resolved with the receipt of payment of $</w:t>
      </w:r>
      <w:bookmarkStart w:id="732" w:name="xdx_900_eus-gaap--GovernmentAssistanceAw"/>
      <w:bookmarkEnd w:id="732"/>
      <w:r>
        <w:rPr>
          <w:rFonts w:ascii="Times New Roman;Times;Serif" w:hAnsi="Times New Roman;Times;Serif"/>
          <w:b w:val="false"/>
          <w:i w:val="false"/>
          <w:caps w:val="false"/>
          <w:smallCaps w:val="false"/>
          <w:sz w:val="20"/>
        </w:rPr>
        <w:t>1,729 relating to the ERC amount and $</w:t>
      </w:r>
      <w:bookmarkStart w:id="733" w:name="xdx_90C_eus-gaap--ProceedsFromInterestRe"/>
      <w:bookmarkEnd w:id="733"/>
      <w:r>
        <w:rPr>
          <w:rFonts w:ascii="Times New Roman;Times;Serif" w:hAnsi="Times New Roman;Times;Serif"/>
          <w:b w:val="false"/>
          <w:i w:val="false"/>
          <w:caps w:val="false"/>
          <w:smallCaps w:val="false"/>
          <w:sz w:val="20"/>
        </w:rPr>
        <w:t>272 of related interest. Given that the payments exceeded the amount the Company requested, the Company chose to recognize $</w:t>
      </w:r>
      <w:bookmarkStart w:id="734" w:name="xdx_90C_eus-gaap--GovernmentAssistanceAm"/>
      <w:bookmarkEnd w:id="734"/>
      <w:r>
        <w:rPr>
          <w:rFonts w:ascii="Times New Roman;Times;Serif" w:hAnsi="Times New Roman;Times;Serif"/>
          <w:b w:val="false"/>
          <w:i w:val="false"/>
          <w:caps w:val="false"/>
          <w:smallCaps w:val="false"/>
          <w:sz w:val="20"/>
        </w:rPr>
        <w:t>1,234 of the ERC as identified, and $</w:t>
      </w:r>
      <w:bookmarkStart w:id="735" w:name="xdx_906_eus-gaap--InvestmentIncomeIntere"/>
      <w:bookmarkEnd w:id="735"/>
      <w:r>
        <w:rPr>
          <w:rFonts w:ascii="Times New Roman;Times;Serif" w:hAnsi="Times New Roman;Times;Serif"/>
          <w:b w:val="false"/>
          <w:i w:val="false"/>
          <w:caps w:val="false"/>
          <w:smallCaps w:val="false"/>
          <w:sz w:val="20"/>
        </w:rPr>
        <w:t>194 in related interest income, creating a reserve for $</w:t>
      </w:r>
      <w:bookmarkStart w:id="736" w:name="xdx_902_eus-gaap--GovernmentAssistanceLi"/>
      <w:bookmarkEnd w:id="736"/>
      <w:r>
        <w:rPr>
          <w:rFonts w:ascii="Times New Roman;Times;Serif" w:hAnsi="Times New Roman;Times;Serif"/>
          <w:b w:val="false"/>
          <w:i w:val="false"/>
          <w:caps w:val="false"/>
          <w:smallCaps w:val="false"/>
          <w:sz w:val="20"/>
        </w:rPr>
        <w:t>572, representing the discrepancy in ERC payment and estimated related interest. The $</w:t>
      </w:r>
      <w:bookmarkStart w:id="737" w:name="xdx_908_eus-gaap--GovernmentAssistanceAm"/>
      <w:bookmarkEnd w:id="737"/>
      <w:r>
        <w:rPr>
          <w:rFonts w:ascii="Times New Roman;Times;Serif" w:hAnsi="Times New Roman;Times;Serif"/>
          <w:b w:val="false"/>
          <w:i w:val="false"/>
          <w:caps w:val="false"/>
          <w:smallCaps w:val="false"/>
          <w:sz w:val="20"/>
        </w:rPr>
        <w:t xml:space="preserve">1,234 ERC amount was included in </w:t>
      </w:r>
      <w:bookmarkStart w:id="738" w:name="xdx_907_eus-gaap--GovernmentAssistanceSt"/>
      <w:bookmarkEnd w:id="738"/>
      <w:r>
        <w:rPr>
          <w:rFonts w:ascii="Times New Roman;Times;Serif" w:hAnsi="Times New Roman;Times;Serif"/>
          <w:b w:val="false"/>
          <w:i w:val="false"/>
          <w:caps w:val="false"/>
          <w:smallCaps w:val="false"/>
          <w:sz w:val="20"/>
        </w:rPr>
        <w:t>other income, net and $</w:t>
      </w:r>
      <w:bookmarkStart w:id="739" w:name="xdx_90B_eus-gaap--InvestmentIncomeIntere"/>
      <w:bookmarkEnd w:id="739"/>
      <w:r>
        <w:rPr>
          <w:rFonts w:ascii="Times New Roman;Times;Serif" w:hAnsi="Times New Roman;Times;Serif"/>
          <w:b w:val="false"/>
          <w:i w:val="false"/>
          <w:caps w:val="false"/>
          <w:smallCaps w:val="false"/>
          <w:sz w:val="20"/>
        </w:rPr>
        <w:t>194 of interest income netted against interest expense within the condensed consolidated statements of operations for the year ended December 31, 2025. While management has no indication of a pending review, the IRS has stated that they reserve the right to audit ERC payments for several years after they were requested. The $</w:t>
      </w:r>
      <w:bookmarkStart w:id="740" w:name="xdx_90E_eus-gaap--GovernmentAssistanceLi"/>
      <w:bookmarkEnd w:id="740"/>
      <w:r>
        <w:rPr>
          <w:rFonts w:ascii="Times New Roman;Times;Serif" w:hAnsi="Times New Roman;Times;Serif"/>
          <w:b w:val="false"/>
          <w:i w:val="false"/>
          <w:caps w:val="false"/>
          <w:smallCaps w:val="false"/>
          <w:sz w:val="20"/>
        </w:rPr>
        <w:t xml:space="preserve">572 is a liability contingent upon the window closing for ERC audits which we estimate will be in 2029 and is currently included in </w:t>
      </w:r>
      <w:bookmarkStart w:id="741" w:name="xdx_90B_eus-gaap--GovernmentAssistanceLi"/>
      <w:bookmarkEnd w:id="741"/>
      <w:r>
        <w:rPr>
          <w:rFonts w:ascii="Times New Roman;Times;Serif" w:hAnsi="Times New Roman;Times;Serif"/>
          <w:b w:val="false"/>
          <w:i w:val="false"/>
          <w:caps w:val="false"/>
          <w:smallCaps w:val="false"/>
          <w:sz w:val="20"/>
        </w:rPr>
        <w:t>accrued expenses.</w:t>
      </w:r>
    </w:p>
    <w:p>
      <w:pPr>
        <w:pStyle w:val="TextBody"/>
        <w:bidi w:val="0"/>
        <w:spacing w:before="0" w:after="0"/>
        <w:ind w:left="0" w:right="0" w:firstLine="720"/>
        <w:jc w:val="both"/>
        <w:rPr>
          <w:caps w:val="false"/>
          <w:smallCaps w:val="false"/>
        </w:rPr>
      </w:pPr>
      <w:bookmarkStart w:id="742" w:name="xdx_81A_z1N8gCVh7Dpe"/>
      <w:bookmarkEnd w:id="742"/>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F-21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10080" w:right="1008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br/>
      </w:r>
      <w:r>
        <w:rPr>
          <w:rFonts w:ascii="Times New Roman;Times;Serif" w:hAnsi="Times New Roman;Times;Serif"/>
          <w:b/>
          <w:i w:val="false"/>
          <w:caps w:val="false"/>
          <w:smallCaps w:val="false"/>
          <w:sz w:val="20"/>
          <w:u w:val="single"/>
        </w:rPr>
        <w:t>Number</w:t>
      </w:r>
    </w:p>
    <w:p>
      <w:pPr>
        <w:pStyle w:val="TextBody"/>
        <w:bidi w:val="0"/>
        <w:spacing w:before="0" w:after="0"/>
        <w:ind w:left="10080" w:right="1008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pPr>
            <w:hyperlink r:id="rId2">
              <w:r>
                <w:rPr>
                  <w:rStyle w:val="InternetLink"/>
                  <w:sz w:val="20"/>
                </w:rPr>
                <w:t>2.1</w:t>
              </w:r>
            </w:hyperlink>
          </w:p>
        </w:tc>
        <w:tc>
          <w:tcPr>
            <w:tcW w:w="9915" w:type="dxa"/>
            <w:tcBorders/>
            <w:vAlign w:val="center"/>
          </w:tcPr>
          <w:p>
            <w:pPr>
              <w:pStyle w:val="TableContents"/>
              <w:bidi w:val="0"/>
              <w:spacing w:before="0" w:after="283"/>
              <w:jc w:val="both"/>
              <w:rPr>
                <w:sz w:val="20"/>
              </w:rPr>
            </w:pPr>
            <w:r>
              <w:rPr>
                <w:sz w:val="20"/>
              </w:rPr>
              <w:t>Plan and Agreement of Merger dated as of November 25, 1997 by and between the Company and its Illinois predecessor, incorporated by reference to Exhibit 2 to the Company’s Annual Report on Form 10-K for the year ended December 31, 1997 (the “1997 10-K”), SEC File No. 000-22333.</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448"/>
        <w:gridCol w:w="9757"/>
      </w:tblGrid>
      <w:tr>
        <w:trPr/>
        <w:tc>
          <w:tcPr>
            <w:tcW w:w="448" w:type="dxa"/>
            <w:tcBorders/>
            <w:vAlign w:val="center"/>
          </w:tcPr>
          <w:p>
            <w:pPr>
              <w:pStyle w:val="TableContents"/>
              <w:bidi w:val="0"/>
              <w:spacing w:before="0" w:after="283"/>
              <w:jc w:val="left"/>
              <w:rPr/>
            </w:pPr>
            <w:hyperlink r:id="rId3">
              <w:r>
                <w:rPr>
                  <w:rStyle w:val="InternetLink"/>
                  <w:sz w:val="20"/>
                </w:rPr>
                <w:t>3(i).1</w:t>
              </w:r>
            </w:hyperlink>
          </w:p>
        </w:tc>
        <w:tc>
          <w:tcPr>
            <w:tcW w:w="9757" w:type="dxa"/>
            <w:tcBorders/>
            <w:vAlign w:val="center"/>
          </w:tcPr>
          <w:p>
            <w:pPr>
              <w:pStyle w:val="TableContents"/>
              <w:bidi w:val="0"/>
              <w:spacing w:before="0" w:after="283"/>
              <w:jc w:val="both"/>
              <w:rPr>
                <w:sz w:val="20"/>
              </w:rPr>
            </w:pPr>
            <w:r>
              <w:rPr>
                <w:sz w:val="20"/>
              </w:rPr>
              <w:t>Certificate of Incorporation of the Company, incorporated by reference to Exhibit 3.1 to the 1997 10-K, SEC File No. 000-22333.</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38"/>
        <w:gridCol w:w="9867"/>
      </w:tblGrid>
      <w:tr>
        <w:trPr/>
        <w:tc>
          <w:tcPr>
            <w:tcW w:w="338" w:type="dxa"/>
            <w:tcBorders/>
            <w:vAlign w:val="center"/>
          </w:tcPr>
          <w:p>
            <w:pPr>
              <w:pStyle w:val="TableContents"/>
              <w:bidi w:val="0"/>
              <w:spacing w:before="0" w:after="283"/>
              <w:jc w:val="left"/>
              <w:rPr/>
            </w:pPr>
            <w:hyperlink r:id="rId4">
              <w:r>
                <w:rPr>
                  <w:rStyle w:val="InternetLink"/>
                  <w:sz w:val="20"/>
                </w:rPr>
                <w:t>3(i).2</w:t>
              </w:r>
            </w:hyperlink>
          </w:p>
        </w:tc>
        <w:tc>
          <w:tcPr>
            <w:tcW w:w="9867" w:type="dxa"/>
            <w:tcBorders/>
            <w:vAlign w:val="center"/>
          </w:tcPr>
          <w:p>
            <w:pPr>
              <w:pStyle w:val="TableContents"/>
              <w:bidi w:val="0"/>
              <w:spacing w:before="0" w:after="283"/>
              <w:jc w:val="both"/>
              <w:rPr>
                <w:sz w:val="20"/>
              </w:rPr>
            </w:pPr>
            <w:r>
              <w:rPr>
                <w:sz w:val="20"/>
              </w:rPr>
              <w:t>First Amendment to the Certificate of Incorporation of the Company dated July 27, 2006, incorporated by reference to Exhibit 99.3 to the Company’s Current Report on Form 8-K filed July 27, 2006, SEC File No. 000-22333.</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27"/>
        <w:gridCol w:w="9878"/>
      </w:tblGrid>
      <w:tr>
        <w:trPr/>
        <w:tc>
          <w:tcPr>
            <w:tcW w:w="327" w:type="dxa"/>
            <w:tcBorders/>
            <w:vAlign w:val="center"/>
          </w:tcPr>
          <w:p>
            <w:pPr>
              <w:pStyle w:val="TableContents"/>
              <w:bidi w:val="0"/>
              <w:spacing w:before="0" w:after="283"/>
              <w:jc w:val="left"/>
              <w:rPr/>
            </w:pPr>
            <w:hyperlink r:id="rId5">
              <w:r>
                <w:rPr>
                  <w:rStyle w:val="InternetLink"/>
                  <w:sz w:val="20"/>
                </w:rPr>
                <w:t>3(i).3</w:t>
              </w:r>
            </w:hyperlink>
          </w:p>
        </w:tc>
        <w:tc>
          <w:tcPr>
            <w:tcW w:w="9878" w:type="dxa"/>
            <w:tcBorders/>
            <w:vAlign w:val="center"/>
          </w:tcPr>
          <w:p>
            <w:pPr>
              <w:pStyle w:val="TableContents"/>
              <w:bidi w:val="0"/>
              <w:spacing w:before="0" w:after="283"/>
              <w:jc w:val="both"/>
              <w:rPr>
                <w:sz w:val="20"/>
              </w:rPr>
            </w:pPr>
            <w:r>
              <w:rPr>
                <w:sz w:val="20"/>
              </w:rPr>
              <w:t>Second Amendment to the Certificate of Incorporation of the Company dated August 23, 2010, incorporated by reference to Exhibit A of the Company’s Definitive Proxy Statement on Schedule 14A filed July 9, 2010, SEC File No. 000-22333.</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73"/>
        <w:gridCol w:w="9832"/>
      </w:tblGrid>
      <w:tr>
        <w:trPr/>
        <w:tc>
          <w:tcPr>
            <w:tcW w:w="373" w:type="dxa"/>
            <w:tcBorders/>
            <w:vAlign w:val="center"/>
          </w:tcPr>
          <w:p>
            <w:pPr>
              <w:pStyle w:val="TableContents"/>
              <w:bidi w:val="0"/>
              <w:spacing w:before="0" w:after="283"/>
              <w:jc w:val="left"/>
              <w:rPr/>
            </w:pPr>
            <w:hyperlink r:id="rId6">
              <w:r>
                <w:rPr>
                  <w:rStyle w:val="InternetLink"/>
                  <w:sz w:val="20"/>
                </w:rPr>
                <w:t>3(i).4</w:t>
              </w:r>
            </w:hyperlink>
          </w:p>
        </w:tc>
        <w:tc>
          <w:tcPr>
            <w:tcW w:w="9832" w:type="dxa"/>
            <w:tcBorders/>
            <w:vAlign w:val="center"/>
          </w:tcPr>
          <w:p>
            <w:pPr>
              <w:pStyle w:val="TableContents"/>
              <w:bidi w:val="0"/>
              <w:spacing w:before="0" w:after="283"/>
              <w:jc w:val="both"/>
              <w:rPr>
                <w:sz w:val="20"/>
              </w:rPr>
            </w:pPr>
            <w:r>
              <w:rPr>
                <w:sz w:val="20"/>
              </w:rPr>
              <w:t>Third Amendment to the Certificate of Incorporation of the Company, incorporated by reference to Exhibit 3.1 to the Company’s Current Report on Form 8-K filed August 29, 2016.</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69"/>
        <w:gridCol w:w="9836"/>
      </w:tblGrid>
      <w:tr>
        <w:trPr/>
        <w:tc>
          <w:tcPr>
            <w:tcW w:w="369" w:type="dxa"/>
            <w:tcBorders/>
            <w:vAlign w:val="center"/>
          </w:tcPr>
          <w:p>
            <w:pPr>
              <w:pStyle w:val="TableContents"/>
              <w:bidi w:val="0"/>
              <w:spacing w:before="0" w:after="283"/>
              <w:jc w:val="left"/>
              <w:rPr/>
            </w:pPr>
            <w:hyperlink r:id="rId7">
              <w:r>
                <w:rPr>
                  <w:rStyle w:val="InternetLink"/>
                  <w:sz w:val="20"/>
                </w:rPr>
                <w:t>3(i).5</w:t>
              </w:r>
            </w:hyperlink>
          </w:p>
        </w:tc>
        <w:tc>
          <w:tcPr>
            <w:tcW w:w="9836"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Fourth Amendment to the Certificate of Incorporation of the Company, incorporated by reference to Exhibit 3.1 to the Company’s Current Report on Form 8-K filed November 22, 2019.</w:t>
            </w:r>
          </w:p>
          <w:p>
            <w:pPr>
              <w:pStyle w:val="TableContents"/>
              <w:bidi w:val="0"/>
              <w:spacing w:before="0" w:after="0"/>
              <w:ind w:left="0" w:right="0" w:hanging="0"/>
              <w:jc w:val="both"/>
              <w:rPr>
                <w:caps w:val="false"/>
                <w:smallCaps w:val="false"/>
              </w:rPr>
            </w:pPr>
            <w:r>
              <w:rPr>
                <w:caps w:val="false"/>
                <w:smallCaps w:val="false"/>
              </w:rPr>
              <w:t> </w:t>
            </w:r>
          </w:p>
        </w:tc>
      </w:tr>
      <w:tr>
        <w:trPr/>
        <w:tc>
          <w:tcPr>
            <w:tcW w:w="369" w:type="dxa"/>
            <w:tcBorders/>
            <w:vAlign w:val="center"/>
          </w:tcPr>
          <w:p>
            <w:pPr>
              <w:pStyle w:val="TableContents"/>
              <w:bidi w:val="0"/>
              <w:spacing w:before="0" w:after="283"/>
              <w:jc w:val="left"/>
              <w:rPr/>
            </w:pPr>
            <w:hyperlink r:id="rId8">
              <w:r>
                <w:rPr>
                  <w:rStyle w:val="InternetLink"/>
                  <w:sz w:val="20"/>
                </w:rPr>
                <w:t>3(i).6</w:t>
              </w:r>
            </w:hyperlink>
          </w:p>
        </w:tc>
        <w:tc>
          <w:tcPr>
            <w:tcW w:w="9836"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Fifth Amendment to the Certificate of Incorporation of the Company, incorporated by reference to Exhibit 3(i).6 to the Company’s Annual Report on Form 10-K filed March 28, 2024.</w:t>
            </w:r>
          </w:p>
          <w:p>
            <w:pPr>
              <w:pStyle w:val="TableContents"/>
              <w:bidi w:val="0"/>
              <w:spacing w:before="0" w:after="0"/>
              <w:ind w:left="0" w:right="0" w:hanging="0"/>
              <w:jc w:val="both"/>
              <w:rPr>
                <w:caps w:val="false"/>
                <w:smallCaps w:val="false"/>
              </w:rPr>
            </w:pP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38"/>
        <w:gridCol w:w="395"/>
        <w:gridCol w:w="9772"/>
      </w:tblGrid>
      <w:tr>
        <w:trPr/>
        <w:tc>
          <w:tcPr>
            <w:tcW w:w="38"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pPr>
            <w:hyperlink r:id="rId9">
              <w:r>
                <w:rPr>
                  <w:rStyle w:val="InternetLink"/>
                  <w:sz w:val="20"/>
                </w:rPr>
                <w:t>3(i).7</w:t>
              </w:r>
            </w:hyperlink>
            <w:r>
              <w:rPr/>
              <w:t xml:space="preserve"> </w:t>
            </w:r>
          </w:p>
        </w:tc>
        <w:tc>
          <w:tcPr>
            <w:tcW w:w="9772" w:type="dxa"/>
            <w:tcBorders/>
            <w:vAlign w:val="center"/>
          </w:tcPr>
          <w:p>
            <w:pPr>
              <w:pStyle w:val="TableContents"/>
              <w:bidi w:val="0"/>
              <w:spacing w:before="0" w:after="283"/>
              <w:jc w:val="left"/>
              <w:rPr>
                <w:sz w:val="20"/>
              </w:rPr>
            </w:pPr>
            <w:r>
              <w:rPr>
                <w:sz w:val="20"/>
              </w:rPr>
              <w:t>Sixth Amendment to the Certificate of Incorporation of the Company, incorporated by reference to Exhibit 3.1 to the Company’s Current Report on Form 8-K filed January 16, 2025.</w:t>
            </w:r>
          </w:p>
        </w:tc>
      </w:tr>
    </w:tbl>
    <w:tbl>
      <w:tblPr>
        <w:tblW w:w="10205" w:type="dxa"/>
        <w:jc w:val="left"/>
        <w:tblInd w:w="0" w:type="dxa"/>
        <w:tblLayout w:type="fixed"/>
        <w:tblCellMar>
          <w:top w:w="0" w:type="dxa"/>
          <w:left w:w="0" w:type="dxa"/>
          <w:bottom w:w="0" w:type="dxa"/>
          <w:right w:w="0" w:type="dxa"/>
        </w:tblCellMar>
      </w:tblPr>
      <w:tblGrid>
        <w:gridCol w:w="430"/>
        <w:gridCol w:w="9775"/>
      </w:tblGrid>
      <w:tr>
        <w:trPr/>
        <w:tc>
          <w:tcPr>
            <w:tcW w:w="430" w:type="dxa"/>
            <w:tcBorders/>
            <w:vAlign w:val="center"/>
          </w:tcPr>
          <w:p>
            <w:pPr>
              <w:pStyle w:val="TableContents"/>
              <w:bidi w:val="0"/>
              <w:spacing w:before="0" w:after="283"/>
              <w:jc w:val="left"/>
              <w:rPr/>
            </w:pPr>
            <w:r>
              <w:rPr/>
              <w:t> </w:t>
            </w:r>
          </w:p>
        </w:tc>
        <w:tc>
          <w:tcPr>
            <w:tcW w:w="9775" w:type="dxa"/>
            <w:tcBorders/>
            <w:vAlign w:val="center"/>
          </w:tcPr>
          <w:p>
            <w:pPr>
              <w:pStyle w:val="TableContents"/>
              <w:bidi w:val="0"/>
              <w:spacing w:before="0" w:after="283"/>
              <w:jc w:val="both"/>
              <w:rPr/>
            </w:pPr>
            <w:r>
              <w:rPr/>
              <w:t> </w:t>
            </w:r>
          </w:p>
        </w:tc>
      </w:tr>
      <w:tr>
        <w:trPr/>
        <w:tc>
          <w:tcPr>
            <w:tcW w:w="430" w:type="dxa"/>
            <w:tcBorders/>
            <w:vAlign w:val="center"/>
          </w:tcPr>
          <w:p>
            <w:pPr>
              <w:pStyle w:val="TableContents"/>
              <w:bidi w:val="0"/>
              <w:spacing w:before="0" w:after="283"/>
              <w:jc w:val="left"/>
              <w:rPr/>
            </w:pPr>
            <w:hyperlink r:id="rId10">
              <w:r>
                <w:rPr>
                  <w:rStyle w:val="InternetLink"/>
                  <w:sz w:val="20"/>
                </w:rPr>
                <w:t>3(i).8</w:t>
              </w:r>
            </w:hyperlink>
          </w:p>
        </w:tc>
        <w:tc>
          <w:tcPr>
            <w:tcW w:w="9775" w:type="dxa"/>
            <w:tcBorders/>
            <w:vAlign w:val="center"/>
          </w:tcPr>
          <w:p>
            <w:pPr>
              <w:pStyle w:val="TableContents"/>
              <w:bidi w:val="0"/>
              <w:spacing w:before="0" w:after="283"/>
              <w:jc w:val="both"/>
              <w:rPr>
                <w:sz w:val="20"/>
              </w:rPr>
            </w:pPr>
            <w:r>
              <w:rPr>
                <w:sz w:val="20"/>
              </w:rPr>
              <w:t>Seventh Amendment to the Certificate of Incorporation of the Company, incorporated by reference to Exhibit 3.1 to the Company’s Current Report on Form 8-K filed March 12, 2025.</w:t>
            </w:r>
          </w:p>
        </w:tc>
      </w:tr>
      <w:tr>
        <w:trPr/>
        <w:tc>
          <w:tcPr>
            <w:tcW w:w="430" w:type="dxa"/>
            <w:tcBorders/>
            <w:vAlign w:val="center"/>
          </w:tcPr>
          <w:p>
            <w:pPr>
              <w:pStyle w:val="TableContents"/>
              <w:bidi w:val="0"/>
              <w:spacing w:before="0" w:after="283"/>
              <w:jc w:val="left"/>
              <w:rPr/>
            </w:pPr>
            <w:r>
              <w:rPr/>
              <w:t> </w:t>
            </w:r>
          </w:p>
        </w:tc>
        <w:tc>
          <w:tcPr>
            <w:tcW w:w="9775" w:type="dxa"/>
            <w:tcBorders/>
            <w:vAlign w:val="center"/>
          </w:tcPr>
          <w:p>
            <w:pPr>
              <w:pStyle w:val="TableContents"/>
              <w:bidi w:val="0"/>
              <w:spacing w:before="0" w:after="283"/>
              <w:jc w:val="both"/>
              <w:rPr/>
            </w:pPr>
            <w:r>
              <w:rPr/>
              <w:t> </w:t>
            </w:r>
          </w:p>
        </w:tc>
      </w:tr>
      <w:tr>
        <w:trPr/>
        <w:tc>
          <w:tcPr>
            <w:tcW w:w="430" w:type="dxa"/>
            <w:tcBorders/>
            <w:vAlign w:val="center"/>
          </w:tcPr>
          <w:p>
            <w:pPr>
              <w:pStyle w:val="TableContents"/>
              <w:bidi w:val="0"/>
              <w:spacing w:before="0" w:after="283"/>
              <w:jc w:val="left"/>
              <w:rPr/>
            </w:pPr>
            <w:hyperlink r:id="rId11">
              <w:r>
                <w:rPr>
                  <w:rStyle w:val="InternetLink"/>
                  <w:sz w:val="20"/>
                </w:rPr>
                <w:t>3(i).9</w:t>
              </w:r>
            </w:hyperlink>
          </w:p>
        </w:tc>
        <w:tc>
          <w:tcPr>
            <w:tcW w:w="977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Certificate of Correction to the Certificate of Incorporation of the Company, incorporated by reference to Exhibit 3.1 to the Company’s Current Report on Form 8-K filed June 9, 2025.</w:t>
            </w:r>
          </w:p>
          <w:p>
            <w:pPr>
              <w:pStyle w:val="TableContents"/>
              <w:bidi w:val="0"/>
              <w:spacing w:before="0" w:after="0"/>
              <w:ind w:left="0" w:right="0" w:hanging="0"/>
              <w:jc w:val="both"/>
              <w:rPr>
                <w:caps w:val="false"/>
                <w:smallCaps w:val="false"/>
              </w:rPr>
            </w:pPr>
            <w:r>
              <w:rPr>
                <w:caps w:val="false"/>
                <w:smallCaps w:val="false"/>
              </w:rPr>
              <w:t> </w:t>
            </w:r>
          </w:p>
        </w:tc>
      </w:tr>
      <w:tr>
        <w:trPr/>
        <w:tc>
          <w:tcPr>
            <w:tcW w:w="430" w:type="dxa"/>
            <w:tcBorders/>
            <w:vAlign w:val="center"/>
          </w:tcPr>
          <w:p>
            <w:pPr>
              <w:pStyle w:val="TableContents"/>
              <w:bidi w:val="0"/>
              <w:spacing w:before="0" w:after="283"/>
              <w:jc w:val="left"/>
              <w:rPr/>
            </w:pPr>
            <w:hyperlink r:id="rId12">
              <w:r>
                <w:rPr>
                  <w:rStyle w:val="InternetLink"/>
                  <w:sz w:val="20"/>
                </w:rPr>
                <w:t>3(ii).1</w:t>
              </w:r>
            </w:hyperlink>
          </w:p>
        </w:tc>
        <w:tc>
          <w:tcPr>
            <w:tcW w:w="9775" w:type="dxa"/>
            <w:tcBorders/>
            <w:vAlign w:val="center"/>
          </w:tcPr>
          <w:p>
            <w:pPr>
              <w:pStyle w:val="TableContents"/>
              <w:bidi w:val="0"/>
              <w:spacing w:before="0" w:after="283"/>
              <w:jc w:val="both"/>
              <w:rPr>
                <w:sz w:val="20"/>
              </w:rPr>
            </w:pPr>
            <w:r>
              <w:rPr>
                <w:sz w:val="20"/>
              </w:rPr>
              <w:t>By-Laws of the Company, incorporated by reference to Exhibit 3.2 to the 1997 10-K, SEC File No. 000-22333.</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pPr>
            <w:hyperlink r:id="rId13">
              <w:r>
                <w:rPr>
                  <w:rStyle w:val="InternetLink"/>
                  <w:sz w:val="20"/>
                </w:rPr>
                <w:t>4.1</w:t>
              </w:r>
            </w:hyperlink>
          </w:p>
        </w:tc>
        <w:tc>
          <w:tcPr>
            <w:tcW w:w="9915" w:type="dxa"/>
            <w:tcBorders/>
            <w:vAlign w:val="center"/>
          </w:tcPr>
          <w:p>
            <w:pPr>
              <w:pStyle w:val="TableContents"/>
              <w:bidi w:val="0"/>
              <w:spacing w:before="0" w:after="283"/>
              <w:jc w:val="both"/>
              <w:rPr>
                <w:sz w:val="20"/>
              </w:rPr>
            </w:pPr>
            <w:r>
              <w:rPr>
                <w:sz w:val="20"/>
              </w:rPr>
              <w:t>Specimen stock certificate representing common stock, incorporated by reference to Exhibit 4.1 to the Company’s Registration Statement on Form S-1/A filed November 4, 1997 (File No. 333-36937) (the “Form S-1/A”).</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pPr>
            <w:hyperlink r:id="rId14">
              <w:r>
                <w:rPr>
                  <w:rStyle w:val="InternetLink"/>
                  <w:sz w:val="20"/>
                </w:rPr>
                <w:t>4.2</w:t>
              </w:r>
            </w:hyperlink>
          </w:p>
        </w:tc>
        <w:tc>
          <w:tcPr>
            <w:tcW w:w="9915" w:type="dxa"/>
            <w:tcBorders/>
            <w:vAlign w:val="center"/>
          </w:tcPr>
          <w:p>
            <w:pPr>
              <w:pStyle w:val="TableContents"/>
              <w:bidi w:val="0"/>
              <w:spacing w:before="0" w:after="283"/>
              <w:jc w:val="both"/>
              <w:rPr>
                <w:sz w:val="20"/>
              </w:rPr>
            </w:pPr>
            <w:r>
              <w:rPr>
                <w:sz w:val="20"/>
              </w:rPr>
              <w:t>Form of Warrants, incorporated by reference to Exhibit 4.2 to the Company’s Registration Statement on Form S-1 filed October 1, 1997 (File No. 333-36937) (the “IPO S-1”).</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pPr>
            <w:hyperlink r:id="rId15">
              <w:r>
                <w:rPr>
                  <w:rStyle w:val="InternetLink"/>
                  <w:sz w:val="20"/>
                </w:rPr>
                <w:t>4.3</w:t>
              </w:r>
            </w:hyperlink>
          </w:p>
        </w:tc>
        <w:tc>
          <w:tcPr>
            <w:tcW w:w="9915" w:type="dxa"/>
            <w:tcBorders/>
            <w:vAlign w:val="center"/>
          </w:tcPr>
          <w:p>
            <w:pPr>
              <w:pStyle w:val="TableContents"/>
              <w:bidi w:val="0"/>
              <w:spacing w:before="0" w:after="283"/>
              <w:jc w:val="both"/>
              <w:rPr>
                <w:sz w:val="20"/>
              </w:rPr>
            </w:pPr>
            <w:r>
              <w:rPr>
                <w:sz w:val="20"/>
              </w:rPr>
              <w:t>Certificate of Designations of Series A Junior Participating Preferred Stock, incorporated by reference to Exhibit 4.4 to the Company’s Annual Report on Form 10-K for the year ended December 31, 1998, SEC File No. 000-22333.</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pPr>
            <w:hyperlink r:id="rId16">
              <w:r>
                <w:rPr>
                  <w:rStyle w:val="InternetLink"/>
                  <w:sz w:val="20"/>
                </w:rPr>
                <w:t>4.4</w:t>
              </w:r>
            </w:hyperlink>
          </w:p>
        </w:tc>
        <w:tc>
          <w:tcPr>
            <w:tcW w:w="9915" w:type="dxa"/>
            <w:tcBorders/>
            <w:vAlign w:val="center"/>
          </w:tcPr>
          <w:p>
            <w:pPr>
              <w:pStyle w:val="TableContents"/>
              <w:bidi w:val="0"/>
              <w:spacing w:before="0" w:after="283"/>
              <w:jc w:val="both"/>
              <w:rPr>
                <w:sz w:val="20"/>
              </w:rPr>
            </w:pPr>
            <w:r>
              <w:rPr>
                <w:sz w:val="20"/>
              </w:rPr>
              <w:t>Stock Purchase Agreement dated August 25, 2006 between the Company and Rohm and Haas Electronic Materials CMP Holdings, Inc., incorporated by reference to Exhibit 99.1 to the Company’s Current Report on Form 8-K filed August 28, 2006, SEC File No. 000-22333.</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pPr>
            <w:hyperlink r:id="rId17">
              <w:r>
                <w:rPr>
                  <w:rStyle w:val="InternetLink"/>
                  <w:sz w:val="20"/>
                </w:rPr>
                <w:t>4.5</w:t>
              </w:r>
            </w:hyperlink>
          </w:p>
        </w:tc>
        <w:tc>
          <w:tcPr>
            <w:tcW w:w="9915" w:type="dxa"/>
            <w:tcBorders/>
            <w:vAlign w:val="center"/>
          </w:tcPr>
          <w:p>
            <w:pPr>
              <w:pStyle w:val="TableContents"/>
              <w:bidi w:val="0"/>
              <w:spacing w:before="0" w:after="283"/>
              <w:jc w:val="both"/>
              <w:rPr>
                <w:sz w:val="20"/>
              </w:rPr>
            </w:pPr>
            <w:r>
              <w:rPr>
                <w:sz w:val="20"/>
              </w:rPr>
              <w:t>Registration Rights Agreement dated August 25, 2006 between the Company and Rohm and Haas Electronic Materials CMP Holdings, Inc., incorporated by reference to Exhibit 99.2 to the Company’s Current Report on Form 8-K filed August 28, 2006, SEC File No. 000-22333.</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pPr>
            <w:hyperlink r:id="rId18">
              <w:r>
                <w:rPr>
                  <w:rStyle w:val="InternetLink"/>
                  <w:sz w:val="20"/>
                </w:rPr>
                <w:t>4.6</w:t>
              </w:r>
            </w:hyperlink>
          </w:p>
        </w:tc>
        <w:tc>
          <w:tcPr>
            <w:tcW w:w="9915" w:type="dxa"/>
            <w:tcBorders/>
            <w:vAlign w:val="center"/>
          </w:tcPr>
          <w:p>
            <w:pPr>
              <w:pStyle w:val="TableContents"/>
              <w:bidi w:val="0"/>
              <w:spacing w:before="0" w:after="283"/>
              <w:jc w:val="both"/>
              <w:rPr>
                <w:sz w:val="20"/>
              </w:rPr>
            </w:pPr>
            <w:r>
              <w:rPr>
                <w:sz w:val="20"/>
              </w:rPr>
              <w:t>Common Stock Purchase Agreement, dated February 10, 2016, between the Company and Bradford T. Whitmore, incorporated by reference to Exhibit 4.1 of the Company’s Current Report on Form 8-K filed February 10, 2016.</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E-1 </w:t>
      </w:r>
    </w:p>
    <w:p>
      <w:pPr>
        <w:pStyle w:val="TextBody"/>
        <w:bidi w:val="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pPr>
            <w:hyperlink r:id="rId19">
              <w:r>
                <w:rPr>
                  <w:rStyle w:val="InternetLink"/>
                  <w:sz w:val="20"/>
                </w:rPr>
                <w:t>4.7</w:t>
              </w:r>
            </w:hyperlink>
          </w:p>
        </w:tc>
        <w:tc>
          <w:tcPr>
            <w:tcW w:w="9915" w:type="dxa"/>
            <w:tcBorders/>
            <w:vAlign w:val="center"/>
          </w:tcPr>
          <w:p>
            <w:pPr>
              <w:pStyle w:val="TableContents"/>
              <w:bidi w:val="0"/>
              <w:spacing w:before="0" w:after="283"/>
              <w:jc w:val="both"/>
              <w:rPr>
                <w:sz w:val="20"/>
              </w:rPr>
            </w:pPr>
            <w:r>
              <w:rPr>
                <w:sz w:val="20"/>
              </w:rPr>
              <w:t>Common Stock Purchase Agreement, dated December 19, 2017, between the Company and Bradford T. Whitmore, incorporated by reference to Exhibit 4.1 of the Company’s Current Report on Form 8-K filed December 21, 2017.</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pPr>
            <w:hyperlink r:id="rId20">
              <w:r>
                <w:rPr>
                  <w:rStyle w:val="InternetLink"/>
                  <w:sz w:val="20"/>
                </w:rPr>
                <w:t>4.8</w:t>
              </w:r>
            </w:hyperlink>
          </w:p>
        </w:tc>
        <w:tc>
          <w:tcPr>
            <w:tcW w:w="9915" w:type="dxa"/>
            <w:tcBorders/>
            <w:vAlign w:val="center"/>
          </w:tcPr>
          <w:p>
            <w:pPr>
              <w:pStyle w:val="TableContents"/>
              <w:bidi w:val="0"/>
              <w:spacing w:before="0" w:after="283"/>
              <w:jc w:val="both"/>
              <w:rPr>
                <w:sz w:val="20"/>
              </w:rPr>
            </w:pPr>
            <w:r>
              <w:rPr>
                <w:sz w:val="20"/>
              </w:rPr>
              <w:t>Common Stock Purchase Agreement, dated May 13, 2019, between the Company and Bradford T. Whitmore, incorporated by reference to Exhibit 4.1 of the Company’s Quarterly Report on Form 10-Q filed May 15, 2019</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pPr>
            <w:hyperlink r:id="rId21">
              <w:r>
                <w:rPr>
                  <w:rStyle w:val="InternetLink"/>
                  <w:sz w:val="20"/>
                </w:rPr>
                <w:t>4.9</w:t>
              </w:r>
            </w:hyperlink>
          </w:p>
        </w:tc>
        <w:tc>
          <w:tcPr>
            <w:tcW w:w="9915" w:type="dxa"/>
            <w:tcBorders/>
            <w:vAlign w:val="center"/>
          </w:tcPr>
          <w:p>
            <w:pPr>
              <w:pStyle w:val="TableContents"/>
              <w:bidi w:val="0"/>
              <w:spacing w:before="0" w:after="283"/>
              <w:jc w:val="both"/>
              <w:rPr>
                <w:sz w:val="20"/>
              </w:rPr>
            </w:pPr>
            <w:r>
              <w:rPr>
                <w:sz w:val="20"/>
              </w:rPr>
              <w:t>Securities Purchase Agreement, dated November 13, 2019, between the Company and Bradford T. Whitmore, incorporated by reference to Exhibit 4.1 of the Company’s Quarterly Report on Form 10-Q filed November 14, 2019.</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pPr>
            <w:hyperlink r:id="rId22">
              <w:r>
                <w:rPr>
                  <w:rStyle w:val="InternetLink"/>
                  <w:sz w:val="20"/>
                </w:rPr>
                <w:t>4.10</w:t>
              </w:r>
            </w:hyperlink>
          </w:p>
        </w:tc>
        <w:tc>
          <w:tcPr>
            <w:tcW w:w="9810" w:type="dxa"/>
            <w:tcBorders/>
            <w:vAlign w:val="center"/>
          </w:tcPr>
          <w:p>
            <w:pPr>
              <w:pStyle w:val="TableContents"/>
              <w:bidi w:val="0"/>
              <w:spacing w:before="0" w:after="283"/>
              <w:jc w:val="both"/>
              <w:rPr>
                <w:sz w:val="20"/>
              </w:rPr>
            </w:pPr>
            <w:r>
              <w:rPr>
                <w:sz w:val="20"/>
              </w:rPr>
              <w:t>Commercial Security Agreement, dated November 20, 2019, between the Company, Solésence, LLC and Bradford T. Whitmore, incorporated by reference to Exhibit 4.2 of the Company’s Quarterly Report on Form 10-Q filed November 14, 2019.</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pPr>
            <w:hyperlink r:id="rId23">
              <w:r>
                <w:rPr>
                  <w:rStyle w:val="InternetLink"/>
                  <w:sz w:val="20"/>
                </w:rPr>
                <w:t>4.11</w:t>
              </w:r>
            </w:hyperlink>
          </w:p>
        </w:tc>
        <w:tc>
          <w:tcPr>
            <w:tcW w:w="9810" w:type="dxa"/>
            <w:tcBorders/>
            <w:vAlign w:val="center"/>
          </w:tcPr>
          <w:p>
            <w:pPr>
              <w:pStyle w:val="TableContents"/>
              <w:bidi w:val="0"/>
              <w:spacing w:before="0" w:after="283"/>
              <w:jc w:val="both"/>
              <w:rPr>
                <w:sz w:val="20"/>
              </w:rPr>
            </w:pPr>
            <w:r>
              <w:rPr>
                <w:sz w:val="20"/>
              </w:rPr>
              <w:t>Certification of Designation of Series X Preferred Stock, incorporated by reference to Exhibit 3.1 to the Company’s Current Report on Form 8-K filed March 5, 2024, EC File No. 000-22333.</w:t>
            </w:r>
          </w:p>
        </w:tc>
      </w:tr>
      <w:tr>
        <w:trPr/>
        <w:tc>
          <w:tcPr>
            <w:tcW w:w="395" w:type="dxa"/>
            <w:tcBorders/>
            <w:vAlign w:val="center"/>
          </w:tcPr>
          <w:p>
            <w:pPr>
              <w:pStyle w:val="TableContents"/>
              <w:bidi w:val="0"/>
              <w:spacing w:before="0" w:after="283"/>
              <w:jc w:val="left"/>
              <w:rPr/>
            </w:pPr>
            <w:r>
              <w:rPr/>
              <w:t> </w:t>
            </w:r>
          </w:p>
        </w:tc>
        <w:tc>
          <w:tcPr>
            <w:tcW w:w="9810" w:type="dxa"/>
            <w:tcBorders/>
            <w:vAlign w:val="center"/>
          </w:tcPr>
          <w:p>
            <w:pPr>
              <w:pStyle w:val="TableContents"/>
              <w:bidi w:val="0"/>
              <w:spacing w:before="0" w:after="283"/>
              <w:jc w:val="both"/>
              <w:rPr/>
            </w:pPr>
            <w:r>
              <w:rPr/>
              <w:t> </w:t>
            </w:r>
          </w:p>
        </w:tc>
      </w:tr>
      <w:tr>
        <w:trPr/>
        <w:tc>
          <w:tcPr>
            <w:tcW w:w="395" w:type="dxa"/>
            <w:tcBorders/>
            <w:vAlign w:val="center"/>
          </w:tcPr>
          <w:p>
            <w:pPr>
              <w:pStyle w:val="TableContents"/>
              <w:bidi w:val="0"/>
              <w:spacing w:before="0" w:after="283"/>
              <w:jc w:val="left"/>
              <w:rPr/>
            </w:pPr>
            <w:hyperlink r:id="rId24">
              <w:r>
                <w:rPr>
                  <w:rStyle w:val="InternetLink"/>
                  <w:sz w:val="20"/>
                </w:rPr>
                <w:t>10.1</w:t>
              </w:r>
            </w:hyperlink>
          </w:p>
        </w:tc>
        <w:tc>
          <w:tcPr>
            <w:tcW w:w="9810" w:type="dxa"/>
            <w:tcBorders/>
            <w:vAlign w:val="center"/>
          </w:tcPr>
          <w:p>
            <w:pPr>
              <w:pStyle w:val="TableContents"/>
              <w:bidi w:val="0"/>
              <w:spacing w:before="0" w:after="283"/>
              <w:jc w:val="both"/>
              <w:rPr>
                <w:sz w:val="20"/>
              </w:rPr>
            </w:pPr>
            <w:r>
              <w:rPr>
                <w:sz w:val="20"/>
              </w:rPr>
              <w:t>Industrial Building Lease dated September 15, 2004 between the Company and the Village of Burr Ridge, incorporated by reference to Exhibit 10.32 to the Company’s Annual Report on Form 10-K for the year ended December 31, 2004 (the “2004 10-K”), SEC File No. 000- 22333.</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pPr>
            <w:hyperlink r:id="rId25">
              <w:r>
                <w:rPr>
                  <w:rStyle w:val="InternetLink"/>
                  <w:sz w:val="20"/>
                </w:rPr>
                <w:t>10.2</w:t>
              </w:r>
            </w:hyperlink>
          </w:p>
        </w:tc>
        <w:tc>
          <w:tcPr>
            <w:tcW w:w="9810" w:type="dxa"/>
            <w:tcBorders/>
            <w:vAlign w:val="center"/>
          </w:tcPr>
          <w:p>
            <w:pPr>
              <w:pStyle w:val="TableContents"/>
              <w:bidi w:val="0"/>
              <w:spacing w:before="0" w:after="283"/>
              <w:jc w:val="both"/>
              <w:rPr>
                <w:sz w:val="20"/>
              </w:rPr>
            </w:pPr>
            <w:r>
              <w:rPr>
                <w:sz w:val="20"/>
              </w:rPr>
              <w:t>Industrial Building Lease Agreement between Centerpoint Properties Trust (formerly CP Financing Trust) and the Company, dated June 15, 2000, incorporated by reference to Exhibit 10.23 to the Company’s Annual Report on Form 10-K for the year ended December 31, 2000 (the “2000 10-K”), SEC File No. 000-22333.</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pPr>
            <w:hyperlink r:id="rId26">
              <w:r>
                <w:rPr>
                  <w:rStyle w:val="InternetLink"/>
                  <w:sz w:val="20"/>
                </w:rPr>
                <w:t>10.3</w:t>
              </w:r>
            </w:hyperlink>
          </w:p>
        </w:tc>
        <w:tc>
          <w:tcPr>
            <w:tcW w:w="9810" w:type="dxa"/>
            <w:tcBorders/>
            <w:vAlign w:val="center"/>
          </w:tcPr>
          <w:p>
            <w:pPr>
              <w:pStyle w:val="TableContents"/>
              <w:bidi w:val="0"/>
              <w:spacing w:before="0" w:after="283"/>
              <w:jc w:val="both"/>
              <w:rPr>
                <w:sz w:val="20"/>
              </w:rPr>
            </w:pPr>
            <w:r>
              <w:rPr>
                <w:sz w:val="20"/>
              </w:rPr>
              <w:t>Lease Amendment effective October 1, 2005 between the Company and Centerpoint Properties Trust, incorporated by reference to Exhibit 99.1 to the Company’s Current Report on Form 8-K filed October 20, 2005, SEC File No. 000-22333.</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pPr>
            <w:hyperlink r:id="rId27">
              <w:r>
                <w:rPr>
                  <w:rStyle w:val="InternetLink"/>
                  <w:sz w:val="20"/>
                </w:rPr>
                <w:t>10.4</w:t>
              </w:r>
            </w:hyperlink>
          </w:p>
        </w:tc>
        <w:tc>
          <w:tcPr>
            <w:tcW w:w="9810" w:type="dxa"/>
            <w:tcBorders/>
            <w:vAlign w:val="center"/>
          </w:tcPr>
          <w:p>
            <w:pPr>
              <w:pStyle w:val="TableContents"/>
              <w:bidi w:val="0"/>
              <w:spacing w:before="0" w:after="283"/>
              <w:jc w:val="both"/>
              <w:rPr>
                <w:sz w:val="20"/>
              </w:rPr>
            </w:pPr>
            <w:r>
              <w:rPr>
                <w:sz w:val="20"/>
              </w:rPr>
              <w:t>Second Amendment to Industrial Lease Agreement, dated as of November 13, 2014 between the Company and MLRP 1319 Marquette LLC, successor-in-interest to Centerpoint Properties Trust, incorporated by reference to Exhibit 10.4 to the Company’s Annual Report on Form 10- K for the year ended December 31, 2014.</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pPr>
            <w:hyperlink r:id="rId28">
              <w:r>
                <w:rPr>
                  <w:rStyle w:val="InternetLink"/>
                  <w:sz w:val="20"/>
                </w:rPr>
                <w:t>10.5</w:t>
              </w:r>
            </w:hyperlink>
          </w:p>
        </w:tc>
        <w:tc>
          <w:tcPr>
            <w:tcW w:w="9810" w:type="dxa"/>
            <w:tcBorders/>
            <w:vAlign w:val="center"/>
          </w:tcPr>
          <w:p>
            <w:pPr>
              <w:pStyle w:val="TableContents"/>
              <w:bidi w:val="0"/>
              <w:spacing w:before="0" w:after="283"/>
              <w:jc w:val="both"/>
              <w:rPr>
                <w:sz w:val="20"/>
              </w:rPr>
            </w:pPr>
            <w:r>
              <w:rPr>
                <w:sz w:val="20"/>
              </w:rPr>
              <w:t>Third Amendment to Industrial Lease Agreement, entered into on October 17, 2016 and effective October 1, 2016, by and between the Company and 1319 Marquette, LLC, incorporated by reference to Exhibit 10.1 to the Company’s Current Report on Form 8-K filed October 19, 2016.</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pPr>
            <w:hyperlink r:id="rId29">
              <w:r>
                <w:rPr>
                  <w:rStyle w:val="InternetLink"/>
                  <w:sz w:val="20"/>
                </w:rPr>
                <w:t>10.6</w:t>
              </w:r>
            </w:hyperlink>
          </w:p>
        </w:tc>
        <w:tc>
          <w:tcPr>
            <w:tcW w:w="9810" w:type="dxa"/>
            <w:tcBorders/>
            <w:vAlign w:val="center"/>
          </w:tcPr>
          <w:p>
            <w:pPr>
              <w:pStyle w:val="TableContents"/>
              <w:bidi w:val="0"/>
              <w:spacing w:before="0" w:after="283"/>
              <w:jc w:val="both"/>
              <w:rPr>
                <w:sz w:val="20"/>
              </w:rPr>
            </w:pPr>
            <w:r>
              <w:rPr>
                <w:sz w:val="20"/>
              </w:rPr>
              <w:t>Mutual Cooperation Agreement entered into on January 17, 2012, by and among the Company, C.I. Kasei Co., Ltd. and CIK NanoTek Corporation, incorporated by reference to Exhibit 10.1 to the Company’s Current Report on Form 8-K filed January 20, 2012, SEC File No. 000-22333.</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pPr>
            <w:hyperlink r:id="rId30">
              <w:r>
                <w:rPr>
                  <w:rStyle w:val="InternetLink"/>
                  <w:sz w:val="20"/>
                </w:rPr>
                <w:t>10.7</w:t>
              </w:r>
            </w:hyperlink>
          </w:p>
        </w:tc>
        <w:tc>
          <w:tcPr>
            <w:tcW w:w="9810" w:type="dxa"/>
            <w:tcBorders/>
            <w:vAlign w:val="center"/>
          </w:tcPr>
          <w:p>
            <w:pPr>
              <w:pStyle w:val="TableContents"/>
              <w:bidi w:val="0"/>
              <w:spacing w:before="0" w:after="283"/>
              <w:jc w:val="both"/>
              <w:rPr>
                <w:sz w:val="20"/>
              </w:rPr>
            </w:pPr>
            <w:r>
              <w:rPr>
                <w:sz w:val="20"/>
              </w:rPr>
              <w:t>Trademark Ownership Assignment Agreement, dated March 31, 2012, between the Company and CIK NanoTek Corporation, incorporated by reference to Exhibit 10.1 to the Company’s Current Report on Form 8-K filed April 4, 2012, SEC File No 000-22333.</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pPr>
            <w:hyperlink r:id="rId31">
              <w:r>
                <w:rPr>
                  <w:rStyle w:val="InternetLink"/>
                  <w:sz w:val="20"/>
                </w:rPr>
                <w:t>10.8</w:t>
              </w:r>
            </w:hyperlink>
          </w:p>
        </w:tc>
        <w:tc>
          <w:tcPr>
            <w:tcW w:w="9810" w:type="dxa"/>
            <w:tcBorders/>
            <w:vAlign w:val="center"/>
          </w:tcPr>
          <w:p>
            <w:pPr>
              <w:pStyle w:val="TableContents"/>
              <w:bidi w:val="0"/>
              <w:spacing w:before="0" w:after="283"/>
              <w:jc w:val="both"/>
              <w:rPr>
                <w:sz w:val="20"/>
              </w:rPr>
            </w:pPr>
            <w:r>
              <w:rPr>
                <w:sz w:val="20"/>
              </w:rPr>
              <w:t>Memorandum on the Payment of Royalty, dated March 31, 2012, between the Company and CIK NanoTek Corporation, incorporated by reference to Exhibit 10.2 to the Company’s Current Report on Form 8-K filed April 4, 2012, SEC File No 000-22333.</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pPr>
            <w:hyperlink r:id="rId32">
              <w:r>
                <w:rPr>
                  <w:rStyle w:val="InternetLink"/>
                  <w:sz w:val="20"/>
                </w:rPr>
                <w:t>10.9</w:t>
              </w:r>
            </w:hyperlink>
          </w:p>
        </w:tc>
        <w:tc>
          <w:tcPr>
            <w:tcW w:w="9810" w:type="dxa"/>
            <w:tcBorders/>
            <w:vAlign w:val="center"/>
          </w:tcPr>
          <w:p>
            <w:pPr>
              <w:pStyle w:val="TableContents"/>
              <w:bidi w:val="0"/>
              <w:spacing w:before="0" w:after="283"/>
              <w:jc w:val="both"/>
              <w:rPr>
                <w:sz w:val="20"/>
              </w:rPr>
            </w:pPr>
            <w:r>
              <w:rPr>
                <w:sz w:val="20"/>
              </w:rPr>
              <w:t>Supply Agreement between the Company and Schering-Plough HealthCare Products, Inc. dated as of March 15, 1997, incorporated by reference to Exhibit 10.17 to the Form S-1/A.</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542"/>
        <w:gridCol w:w="9663"/>
      </w:tblGrid>
      <w:tr>
        <w:trPr/>
        <w:tc>
          <w:tcPr>
            <w:tcW w:w="542" w:type="dxa"/>
            <w:tcBorders/>
            <w:vAlign w:val="center"/>
          </w:tcPr>
          <w:p>
            <w:pPr>
              <w:pStyle w:val="TableContents"/>
              <w:bidi w:val="0"/>
              <w:spacing w:before="0" w:after="283"/>
              <w:jc w:val="left"/>
              <w:rPr/>
            </w:pPr>
            <w:hyperlink r:id="rId33">
              <w:r>
                <w:rPr>
                  <w:rStyle w:val="InternetLink"/>
                  <w:sz w:val="20"/>
                </w:rPr>
                <w:t>10.10*</w:t>
              </w:r>
            </w:hyperlink>
          </w:p>
        </w:tc>
        <w:tc>
          <w:tcPr>
            <w:tcW w:w="9663" w:type="dxa"/>
            <w:tcBorders/>
            <w:vAlign w:val="center"/>
          </w:tcPr>
          <w:p>
            <w:pPr>
              <w:pStyle w:val="TableContents"/>
              <w:bidi w:val="0"/>
              <w:spacing w:before="0" w:after="283"/>
              <w:jc w:val="both"/>
              <w:rPr>
                <w:sz w:val="20"/>
              </w:rPr>
            </w:pPr>
            <w:r>
              <w:rPr>
                <w:sz w:val="20"/>
              </w:rPr>
              <w:t>Zinc Oxide Supply Agreement dated as of September 16, 1999 between the Company and BASF Corporation, as assignee, incorporated by reference to Exhibit 10.22 to the Company’s Annual Report on Form 10-K for the year ended December 31, 1999, SEC File No. 000-22333.</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555"/>
        <w:gridCol w:w="9650"/>
      </w:tblGrid>
      <w:tr>
        <w:trPr/>
        <w:tc>
          <w:tcPr>
            <w:tcW w:w="555" w:type="dxa"/>
            <w:tcBorders/>
            <w:vAlign w:val="center"/>
          </w:tcPr>
          <w:p>
            <w:pPr>
              <w:pStyle w:val="TableContents"/>
              <w:bidi w:val="0"/>
              <w:spacing w:before="0" w:after="283"/>
              <w:jc w:val="left"/>
              <w:rPr/>
            </w:pPr>
            <w:hyperlink r:id="rId34">
              <w:r>
                <w:rPr>
                  <w:rStyle w:val="InternetLink"/>
                  <w:sz w:val="20"/>
                </w:rPr>
                <w:t>10.11*</w:t>
              </w:r>
            </w:hyperlink>
          </w:p>
        </w:tc>
        <w:tc>
          <w:tcPr>
            <w:tcW w:w="9650" w:type="dxa"/>
            <w:tcBorders/>
            <w:vAlign w:val="center"/>
          </w:tcPr>
          <w:p>
            <w:pPr>
              <w:pStyle w:val="TableContents"/>
              <w:bidi w:val="0"/>
              <w:spacing w:before="0" w:after="283"/>
              <w:jc w:val="both"/>
              <w:rPr>
                <w:sz w:val="20"/>
              </w:rPr>
            </w:pPr>
            <w:r>
              <w:rPr>
                <w:sz w:val="20"/>
              </w:rPr>
              <w:t>Amendment No. 1 to Zinc Oxide Supply Agreement dated as of January, 2001 between the Company and BASF Corporation, incorporated by reference to Exhibit 10.24 to the 2000 10-K, SEC File No. 000-22333.</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E-2 </w:t>
      </w:r>
    </w:p>
    <w:p>
      <w:pPr>
        <w:pStyle w:val="TextBody"/>
        <w:bidi w:val="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pPr>
            <w:hyperlink r:id="rId35">
              <w:r>
                <w:rPr>
                  <w:rStyle w:val="InternetLink"/>
                  <w:sz w:val="20"/>
                </w:rPr>
                <w:t>10.12</w:t>
              </w:r>
            </w:hyperlink>
          </w:p>
        </w:tc>
        <w:tc>
          <w:tcPr>
            <w:tcW w:w="9705" w:type="dxa"/>
            <w:tcBorders/>
            <w:vAlign w:val="center"/>
          </w:tcPr>
          <w:p>
            <w:pPr>
              <w:pStyle w:val="TableContents"/>
              <w:bidi w:val="0"/>
              <w:spacing w:before="0" w:after="283"/>
              <w:jc w:val="both"/>
              <w:rPr>
                <w:sz w:val="20"/>
              </w:rPr>
            </w:pPr>
            <w:r>
              <w:rPr>
                <w:sz w:val="20"/>
              </w:rPr>
              <w:t>Amendment No. 2. to Zinc Oxide Supply Agreement dated as of March 17, 2003 between the Company and BASF Corporation, incorporated by reference to Exhibit 10.26 to the Company’s Annual Report on Form 10-K for the year ended December 31, 2002 (the “2002 10-K”), SEC File No. 000-22333.</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542"/>
        <w:gridCol w:w="9663"/>
      </w:tblGrid>
      <w:tr>
        <w:trPr/>
        <w:tc>
          <w:tcPr>
            <w:tcW w:w="542" w:type="dxa"/>
            <w:tcBorders/>
            <w:vAlign w:val="center"/>
          </w:tcPr>
          <w:p>
            <w:pPr>
              <w:pStyle w:val="TableContents"/>
              <w:bidi w:val="0"/>
              <w:spacing w:before="0" w:after="283"/>
              <w:jc w:val="left"/>
              <w:rPr/>
            </w:pPr>
            <w:hyperlink r:id="rId36">
              <w:r>
                <w:rPr>
                  <w:rStyle w:val="InternetLink"/>
                  <w:sz w:val="20"/>
                </w:rPr>
                <w:t>10.13*</w:t>
              </w:r>
            </w:hyperlink>
          </w:p>
        </w:tc>
        <w:tc>
          <w:tcPr>
            <w:tcW w:w="9663" w:type="dxa"/>
            <w:tcBorders/>
            <w:vAlign w:val="center"/>
          </w:tcPr>
          <w:p>
            <w:pPr>
              <w:pStyle w:val="TableContents"/>
              <w:bidi w:val="0"/>
              <w:spacing w:before="0" w:after="283"/>
              <w:jc w:val="both"/>
              <w:rPr>
                <w:sz w:val="20"/>
              </w:rPr>
            </w:pPr>
            <w:r>
              <w:rPr>
                <w:sz w:val="20"/>
              </w:rPr>
              <w:t>Amendment No. 3 to Zinc Oxide Supply Agreement entered into on December 12, 2012, between the Company and BASF Corporation, incorporated by reference to Exhibit 10.1 of the Company’s Current Report on Form 8-K filed December 6, 2012, SEC File No. 000-22333.</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542"/>
        <w:gridCol w:w="9663"/>
      </w:tblGrid>
      <w:tr>
        <w:trPr/>
        <w:tc>
          <w:tcPr>
            <w:tcW w:w="542" w:type="dxa"/>
            <w:tcBorders/>
            <w:vAlign w:val="center"/>
          </w:tcPr>
          <w:p>
            <w:pPr>
              <w:pStyle w:val="TableContents"/>
              <w:bidi w:val="0"/>
              <w:spacing w:before="0" w:after="283"/>
              <w:jc w:val="left"/>
              <w:rPr/>
            </w:pPr>
            <w:hyperlink r:id="rId37">
              <w:r>
                <w:rPr>
                  <w:rStyle w:val="InternetLink"/>
                  <w:sz w:val="20"/>
                </w:rPr>
                <w:t>10.14*</w:t>
              </w:r>
            </w:hyperlink>
          </w:p>
        </w:tc>
        <w:tc>
          <w:tcPr>
            <w:tcW w:w="9663" w:type="dxa"/>
            <w:tcBorders/>
            <w:vAlign w:val="center"/>
          </w:tcPr>
          <w:p>
            <w:pPr>
              <w:pStyle w:val="TableContents"/>
              <w:bidi w:val="0"/>
              <w:spacing w:before="0" w:after="283"/>
              <w:jc w:val="both"/>
              <w:rPr>
                <w:sz w:val="20"/>
              </w:rPr>
            </w:pPr>
            <w:r>
              <w:rPr>
                <w:sz w:val="20"/>
              </w:rPr>
              <w:t xml:space="preserve">Amendment No. 4 to Zinc Oxide Supply Agreement, dated as of January 1, 2019 and entered into on March 11, 2019, between the Company and BASF Corporation, incorporated by reference to Exhibit 10.1 of the Company’s Quarterly Report on Form 10-Q filed May 15, 2019. </w:t>
            </w:r>
          </w:p>
        </w:tc>
      </w:tr>
      <w:tr>
        <w:trPr/>
        <w:tc>
          <w:tcPr>
            <w:tcW w:w="542" w:type="dxa"/>
            <w:tcBorders/>
            <w:vAlign w:val="center"/>
          </w:tcPr>
          <w:p>
            <w:pPr>
              <w:pStyle w:val="TableContents"/>
              <w:bidi w:val="0"/>
              <w:spacing w:before="0" w:after="283"/>
              <w:jc w:val="left"/>
              <w:rPr/>
            </w:pPr>
            <w:r>
              <w:rPr/>
              <w:t> </w:t>
            </w:r>
          </w:p>
        </w:tc>
        <w:tc>
          <w:tcPr>
            <w:tcW w:w="9663" w:type="dxa"/>
            <w:tcBorders/>
            <w:vAlign w:val="center"/>
          </w:tcPr>
          <w:p>
            <w:pPr>
              <w:pStyle w:val="TableContents"/>
              <w:bidi w:val="0"/>
              <w:spacing w:before="0" w:after="283"/>
              <w:jc w:val="both"/>
              <w:rPr/>
            </w:pPr>
            <w:r>
              <w:rPr/>
              <w:t> </w:t>
            </w:r>
          </w:p>
        </w:tc>
      </w:tr>
      <w:tr>
        <w:trPr/>
        <w:tc>
          <w:tcPr>
            <w:tcW w:w="542" w:type="dxa"/>
            <w:tcBorders/>
            <w:vAlign w:val="center"/>
          </w:tcPr>
          <w:p>
            <w:pPr>
              <w:pStyle w:val="TableContents"/>
              <w:bidi w:val="0"/>
              <w:spacing w:before="0" w:after="283"/>
              <w:jc w:val="left"/>
              <w:rPr/>
            </w:pPr>
            <w:hyperlink r:id="rId38">
              <w:r>
                <w:rPr>
                  <w:rStyle w:val="InternetLink"/>
                  <w:sz w:val="20"/>
                </w:rPr>
                <w:t>10.15*</w:t>
              </w:r>
            </w:hyperlink>
          </w:p>
        </w:tc>
        <w:tc>
          <w:tcPr>
            <w:tcW w:w="9663" w:type="dxa"/>
            <w:tcBorders/>
            <w:vAlign w:val="center"/>
          </w:tcPr>
          <w:p>
            <w:pPr>
              <w:pStyle w:val="TableContents"/>
              <w:bidi w:val="0"/>
              <w:spacing w:before="0" w:after="283"/>
              <w:jc w:val="both"/>
              <w:rPr>
                <w:sz w:val="20"/>
              </w:rPr>
            </w:pPr>
            <w:r>
              <w:rPr>
                <w:sz w:val="20"/>
              </w:rPr>
              <w:t xml:space="preserve">Amendment No. 5 effective as of April 10, 2024, to Zinc Oxide Supply Agreement, dated as of September 16, 1999, between the Company and BASF Corporation, incorporated by reference to Exhibit 10.1 of the Company’s Quarterly Report on Form 10-Q filed April 11, 2024.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pPr>
            <w:hyperlink r:id="rId39">
              <w:r>
                <w:rPr>
                  <w:rStyle w:val="InternetLink"/>
                  <w:sz w:val="20"/>
                </w:rPr>
                <w:t>10.16</w:t>
              </w:r>
            </w:hyperlink>
          </w:p>
        </w:tc>
        <w:tc>
          <w:tcPr>
            <w:tcW w:w="9705" w:type="dxa"/>
            <w:tcBorders/>
            <w:vAlign w:val="center"/>
          </w:tcPr>
          <w:p>
            <w:pPr>
              <w:pStyle w:val="TableContents"/>
              <w:bidi w:val="0"/>
              <w:spacing w:before="0" w:after="283"/>
              <w:jc w:val="both"/>
              <w:rPr>
                <w:sz w:val="20"/>
              </w:rPr>
            </w:pPr>
            <w:r>
              <w:rPr>
                <w:sz w:val="20"/>
              </w:rPr>
              <w:t>Z-COTE HP-2 Brand Supply Agreement dated May 15, 2006 between the Company and BASF Corporation, incorporated by reference to Exhibit 99.1 to the Company’s Current Report on Form 8-K filed June 20, 2006, SEC File No. 000-22333.</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541"/>
        <w:gridCol w:w="9664"/>
      </w:tblGrid>
      <w:tr>
        <w:trPr/>
        <w:tc>
          <w:tcPr>
            <w:tcW w:w="541" w:type="dxa"/>
            <w:tcBorders/>
            <w:vAlign w:val="center"/>
          </w:tcPr>
          <w:p>
            <w:pPr>
              <w:pStyle w:val="TableContents"/>
              <w:bidi w:val="0"/>
              <w:spacing w:before="0" w:after="283"/>
              <w:jc w:val="left"/>
              <w:rPr/>
            </w:pPr>
            <w:hyperlink r:id="rId40">
              <w:r>
                <w:rPr>
                  <w:rStyle w:val="InternetLink"/>
                  <w:sz w:val="20"/>
                </w:rPr>
                <w:t>10.17*</w:t>
              </w:r>
            </w:hyperlink>
          </w:p>
        </w:tc>
        <w:tc>
          <w:tcPr>
            <w:tcW w:w="9664" w:type="dxa"/>
            <w:tcBorders/>
            <w:vAlign w:val="center"/>
          </w:tcPr>
          <w:p>
            <w:pPr>
              <w:pStyle w:val="TableContents"/>
              <w:bidi w:val="0"/>
              <w:spacing w:before="0" w:after="283"/>
              <w:jc w:val="both"/>
              <w:rPr>
                <w:sz w:val="20"/>
              </w:rPr>
            </w:pPr>
            <w:r>
              <w:rPr>
                <w:sz w:val="20"/>
              </w:rPr>
              <w:t>Amended and Restated Cooperation Agreement dated August 25, 2006 between the Company and Rohm and Haas Electronic Materials CMP Inc., incorporated by reference to Exhibit 99.3 to the Company’s Current Report on Form 8-K filed August 28, 2006, SEC File No. 000- 22333.</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pPr>
            <w:hyperlink r:id="rId41">
              <w:r>
                <w:rPr>
                  <w:rStyle w:val="InternetLink"/>
                  <w:sz w:val="20"/>
                </w:rPr>
                <w:t>10.18</w:t>
              </w:r>
            </w:hyperlink>
          </w:p>
        </w:tc>
        <w:tc>
          <w:tcPr>
            <w:tcW w:w="9705" w:type="dxa"/>
            <w:tcBorders/>
            <w:vAlign w:val="center"/>
          </w:tcPr>
          <w:p>
            <w:pPr>
              <w:pStyle w:val="TableContents"/>
              <w:bidi w:val="0"/>
              <w:spacing w:before="0" w:after="283"/>
              <w:jc w:val="both"/>
              <w:rPr>
                <w:sz w:val="20"/>
              </w:rPr>
            </w:pPr>
            <w:r>
              <w:rPr>
                <w:sz w:val="20"/>
              </w:rPr>
              <w:t>Supply Agreement effective as of March 23, 2009, between the Company and Rohm and Haas Electronic Materials CMP Inc., incorporated by reference to Exhibit 10.56 to the Company’s Annual Report on Form 10-K for the year ended December 31, 2008, SEC File No. 000-22333.</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542"/>
        <w:gridCol w:w="9663"/>
      </w:tblGrid>
      <w:tr>
        <w:trPr/>
        <w:tc>
          <w:tcPr>
            <w:tcW w:w="542" w:type="dxa"/>
            <w:tcBorders/>
            <w:vAlign w:val="center"/>
          </w:tcPr>
          <w:p>
            <w:pPr>
              <w:pStyle w:val="TableContents"/>
              <w:bidi w:val="0"/>
              <w:spacing w:before="0" w:after="283"/>
              <w:jc w:val="left"/>
              <w:rPr/>
            </w:pPr>
            <w:hyperlink r:id="rId42">
              <w:r>
                <w:rPr>
                  <w:rStyle w:val="InternetLink"/>
                  <w:sz w:val="20"/>
                </w:rPr>
                <w:t>10.19*</w:t>
              </w:r>
            </w:hyperlink>
          </w:p>
        </w:tc>
        <w:tc>
          <w:tcPr>
            <w:tcW w:w="9663" w:type="dxa"/>
            <w:tcBorders/>
            <w:vAlign w:val="center"/>
          </w:tcPr>
          <w:p>
            <w:pPr>
              <w:pStyle w:val="TableContents"/>
              <w:bidi w:val="0"/>
              <w:spacing w:before="0" w:after="283"/>
              <w:jc w:val="both"/>
              <w:rPr>
                <w:sz w:val="20"/>
              </w:rPr>
            </w:pPr>
            <w:r>
              <w:rPr>
                <w:sz w:val="20"/>
              </w:rPr>
              <w:t>Distributor Agreement dated October 24, 2005 between Johnson Matthey Catalog Company, Inc., d/b/a ALFA AESAR and the Company, incorporated by reference to Exhibit 99.1 to the Company’s Current Report on Form 8-K filed November 1, 2005, SEC File No. 000-22333.</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551"/>
        <w:gridCol w:w="9654"/>
      </w:tblGrid>
      <w:tr>
        <w:trPr/>
        <w:tc>
          <w:tcPr>
            <w:tcW w:w="551" w:type="dxa"/>
            <w:tcBorders/>
            <w:vAlign w:val="center"/>
          </w:tcPr>
          <w:p>
            <w:pPr>
              <w:pStyle w:val="TableContents"/>
              <w:bidi w:val="0"/>
              <w:spacing w:before="0" w:after="283"/>
              <w:jc w:val="left"/>
              <w:rPr/>
            </w:pPr>
            <w:hyperlink r:id="rId43">
              <w:r>
                <w:rPr>
                  <w:rStyle w:val="InternetLink"/>
                  <w:sz w:val="20"/>
                </w:rPr>
                <w:t>10.20*</w:t>
              </w:r>
            </w:hyperlink>
          </w:p>
        </w:tc>
        <w:tc>
          <w:tcPr>
            <w:tcW w:w="9654" w:type="dxa"/>
            <w:tcBorders/>
            <w:vAlign w:val="center"/>
          </w:tcPr>
          <w:p>
            <w:pPr>
              <w:pStyle w:val="TableContents"/>
              <w:bidi w:val="0"/>
              <w:spacing w:before="0" w:after="283"/>
              <w:jc w:val="both"/>
              <w:rPr>
                <w:sz w:val="20"/>
              </w:rPr>
            </w:pPr>
            <w:r>
              <w:rPr>
                <w:sz w:val="20"/>
              </w:rPr>
              <w:t>Supply Agreement dated March 3, 2006 between Roche Diagnostics GmbH and the Company, incorporated by reference to Exhibit 99.1 to the Company’s Current Report on Form 8-K filed March 9, 2006, SEC File No. 000-22333.</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547"/>
        <w:gridCol w:w="9658"/>
      </w:tblGrid>
      <w:tr>
        <w:trPr/>
        <w:tc>
          <w:tcPr>
            <w:tcW w:w="547" w:type="dxa"/>
            <w:tcBorders/>
            <w:vAlign w:val="center"/>
          </w:tcPr>
          <w:p>
            <w:pPr>
              <w:pStyle w:val="TableContents"/>
              <w:bidi w:val="0"/>
              <w:spacing w:before="0" w:after="283"/>
              <w:jc w:val="left"/>
              <w:rPr/>
            </w:pPr>
            <w:hyperlink r:id="rId44">
              <w:r>
                <w:rPr>
                  <w:rStyle w:val="InternetLink"/>
                  <w:sz w:val="20"/>
                </w:rPr>
                <w:t>10.21*</w:t>
              </w:r>
            </w:hyperlink>
          </w:p>
        </w:tc>
        <w:tc>
          <w:tcPr>
            <w:tcW w:w="9658" w:type="dxa"/>
            <w:tcBorders/>
            <w:vAlign w:val="center"/>
          </w:tcPr>
          <w:p>
            <w:pPr>
              <w:pStyle w:val="TableContents"/>
              <w:bidi w:val="0"/>
              <w:spacing w:before="0" w:after="283"/>
              <w:jc w:val="both"/>
              <w:rPr>
                <w:sz w:val="20"/>
              </w:rPr>
            </w:pPr>
            <w:r>
              <w:rPr>
                <w:sz w:val="20"/>
              </w:rPr>
              <w:t>First Amendment to the Supply Agreement entered into on November 19, 2014 between the Company and Roche Diagnostics GmbH, incorporated by reference to Exhibit 10.1 to the Company’s Current Report on Form 8-K filed November 25, 2014.</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546"/>
        <w:gridCol w:w="9659"/>
      </w:tblGrid>
      <w:tr>
        <w:trPr/>
        <w:tc>
          <w:tcPr>
            <w:tcW w:w="546" w:type="dxa"/>
            <w:tcBorders/>
            <w:vAlign w:val="center"/>
          </w:tcPr>
          <w:p>
            <w:pPr>
              <w:pStyle w:val="TableContents"/>
              <w:bidi w:val="0"/>
              <w:spacing w:before="0" w:after="283"/>
              <w:jc w:val="left"/>
              <w:rPr/>
            </w:pPr>
            <w:hyperlink r:id="rId45">
              <w:r>
                <w:rPr>
                  <w:rStyle w:val="InternetLink"/>
                  <w:sz w:val="20"/>
                </w:rPr>
                <w:t>10.22*</w:t>
              </w:r>
            </w:hyperlink>
          </w:p>
        </w:tc>
        <w:tc>
          <w:tcPr>
            <w:tcW w:w="9659" w:type="dxa"/>
            <w:tcBorders/>
            <w:vAlign w:val="center"/>
          </w:tcPr>
          <w:p>
            <w:pPr>
              <w:pStyle w:val="TableContents"/>
              <w:bidi w:val="0"/>
              <w:spacing w:before="0" w:after="283"/>
              <w:jc w:val="both"/>
              <w:rPr>
                <w:sz w:val="20"/>
              </w:rPr>
            </w:pPr>
            <w:r>
              <w:rPr>
                <w:sz w:val="20"/>
              </w:rPr>
              <w:t>Second Amendment to the Supply Agreement, entered into on November 21, 2016, between the Company and Roche Diagnostics GmbH, incorporated by reference to Exhibit 10.1 to the Company’s Current Report on Form 8-K filed November 28, 2016.</w:t>
            </w:r>
          </w:p>
        </w:tc>
      </w:tr>
      <w:tr>
        <w:trPr/>
        <w:tc>
          <w:tcPr>
            <w:tcW w:w="546" w:type="dxa"/>
            <w:tcBorders/>
            <w:vAlign w:val="center"/>
          </w:tcPr>
          <w:p>
            <w:pPr>
              <w:pStyle w:val="TableContents"/>
              <w:bidi w:val="0"/>
              <w:spacing w:before="0" w:after="283"/>
              <w:jc w:val="left"/>
              <w:rPr/>
            </w:pPr>
            <w:r>
              <w:rPr/>
              <w:t> </w:t>
            </w:r>
          </w:p>
        </w:tc>
        <w:tc>
          <w:tcPr>
            <w:tcW w:w="9659" w:type="dxa"/>
            <w:tcBorders/>
            <w:vAlign w:val="center"/>
          </w:tcPr>
          <w:p>
            <w:pPr>
              <w:pStyle w:val="TableContents"/>
              <w:bidi w:val="0"/>
              <w:spacing w:before="0" w:after="283"/>
              <w:jc w:val="both"/>
              <w:rPr/>
            </w:pPr>
            <w:r>
              <w:rPr/>
              <w:t> </w:t>
            </w:r>
          </w:p>
        </w:tc>
      </w:tr>
      <w:tr>
        <w:trPr/>
        <w:tc>
          <w:tcPr>
            <w:tcW w:w="546" w:type="dxa"/>
            <w:tcBorders/>
            <w:vAlign w:val="center"/>
          </w:tcPr>
          <w:p>
            <w:pPr>
              <w:pStyle w:val="TableContents"/>
              <w:bidi w:val="0"/>
              <w:spacing w:before="0" w:after="283"/>
              <w:jc w:val="left"/>
              <w:rPr>
                <w:sz w:val="20"/>
              </w:rPr>
            </w:pPr>
            <w:r>
              <w:rPr>
                <w:sz w:val="20"/>
              </w:rPr>
              <w:t>10.23*</w:t>
            </w:r>
          </w:p>
        </w:tc>
        <w:tc>
          <w:tcPr>
            <w:tcW w:w="9659" w:type="dxa"/>
            <w:tcBorders/>
            <w:vAlign w:val="center"/>
          </w:tcPr>
          <w:p>
            <w:pPr>
              <w:pStyle w:val="TableContents"/>
              <w:bidi w:val="0"/>
              <w:spacing w:before="0" w:after="283"/>
              <w:jc w:val="both"/>
              <w:rPr>
                <w:sz w:val="20"/>
              </w:rPr>
            </w:pPr>
            <w:r>
              <w:rPr>
                <w:sz w:val="20"/>
              </w:rPr>
              <w:t>Third Amendment to the Supply Agreement, entered into on February 3, 2023, between the Company and Roche Diagnostics GmbH</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pPr>
            <w:hyperlink r:id="rId46">
              <w:r>
                <w:rPr>
                  <w:rStyle w:val="InternetLink"/>
                  <w:sz w:val="20"/>
                </w:rPr>
                <w:t>10.24</w:t>
              </w:r>
            </w:hyperlink>
          </w:p>
        </w:tc>
        <w:tc>
          <w:tcPr>
            <w:tcW w:w="9705" w:type="dxa"/>
            <w:tcBorders/>
            <w:vAlign w:val="center"/>
          </w:tcPr>
          <w:p>
            <w:pPr>
              <w:pStyle w:val="TableContents"/>
              <w:bidi w:val="0"/>
              <w:spacing w:before="0" w:after="283"/>
              <w:jc w:val="both"/>
              <w:rPr>
                <w:sz w:val="20"/>
              </w:rPr>
            </w:pPr>
            <w:r>
              <w:rPr>
                <w:sz w:val="20"/>
              </w:rPr>
              <w:t>Joint Development Agreement dated March 23, 2004 between the Company and Altana Chemie AG, incorporated by reference to Exhibit 10.29 to the 2003 10-K, SEC File No. 000-22333.</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555"/>
        <w:gridCol w:w="9650"/>
      </w:tblGrid>
      <w:tr>
        <w:trPr/>
        <w:tc>
          <w:tcPr>
            <w:tcW w:w="555" w:type="dxa"/>
            <w:tcBorders/>
            <w:vAlign w:val="center"/>
          </w:tcPr>
          <w:p>
            <w:pPr>
              <w:pStyle w:val="TableContents"/>
              <w:bidi w:val="0"/>
              <w:spacing w:before="0" w:after="283"/>
              <w:jc w:val="left"/>
              <w:rPr/>
            </w:pPr>
            <w:hyperlink r:id="rId47">
              <w:r>
                <w:rPr>
                  <w:rStyle w:val="InternetLink"/>
                  <w:sz w:val="20"/>
                </w:rPr>
                <w:t>10.25*</w:t>
              </w:r>
            </w:hyperlink>
          </w:p>
        </w:tc>
        <w:tc>
          <w:tcPr>
            <w:tcW w:w="9650" w:type="dxa"/>
            <w:tcBorders/>
            <w:vAlign w:val="center"/>
          </w:tcPr>
          <w:p>
            <w:pPr>
              <w:pStyle w:val="TableContents"/>
              <w:bidi w:val="0"/>
              <w:spacing w:before="0" w:after="283"/>
              <w:jc w:val="both"/>
              <w:rPr>
                <w:sz w:val="20"/>
              </w:rPr>
            </w:pPr>
            <w:r>
              <w:rPr>
                <w:sz w:val="20"/>
              </w:rPr>
              <w:t>Agreement dated July 7, 2008 between the Company and Altana Chemie GmbH, incorporated by reference to Exhibit 99.1 to the Company’s Current Report on Form 8-K filed July 18, 2008, SEC File No. 000-22333.</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546"/>
        <w:gridCol w:w="9659"/>
      </w:tblGrid>
      <w:tr>
        <w:trPr/>
        <w:tc>
          <w:tcPr>
            <w:tcW w:w="546" w:type="dxa"/>
            <w:tcBorders/>
            <w:vAlign w:val="center"/>
          </w:tcPr>
          <w:p>
            <w:pPr>
              <w:pStyle w:val="TableContents"/>
              <w:bidi w:val="0"/>
              <w:spacing w:before="0" w:after="283"/>
              <w:jc w:val="left"/>
              <w:rPr/>
            </w:pPr>
            <w:hyperlink r:id="rId48">
              <w:r>
                <w:rPr>
                  <w:rStyle w:val="InternetLink"/>
                  <w:sz w:val="20"/>
                </w:rPr>
                <w:t>10.26*</w:t>
              </w:r>
            </w:hyperlink>
          </w:p>
        </w:tc>
        <w:tc>
          <w:tcPr>
            <w:tcW w:w="9659" w:type="dxa"/>
            <w:tcBorders/>
            <w:vAlign w:val="center"/>
          </w:tcPr>
          <w:p>
            <w:pPr>
              <w:pStyle w:val="TableContents"/>
              <w:bidi w:val="0"/>
              <w:spacing w:before="0" w:after="283"/>
              <w:jc w:val="both"/>
              <w:rPr>
                <w:sz w:val="20"/>
              </w:rPr>
            </w:pPr>
            <w:r>
              <w:rPr>
                <w:sz w:val="20"/>
              </w:rPr>
              <w:t>Settlement and Termination Agreement, dated August 20, 2010, between the Company and Altana Chemie GmbH, incorporated by reference to Exhibit 10.1 to the Company’s Current Report on Form 8-K filed August 25, 2010, SEC File No. 000-22333.</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556"/>
        <w:gridCol w:w="9649"/>
      </w:tblGrid>
      <w:tr>
        <w:trPr/>
        <w:tc>
          <w:tcPr>
            <w:tcW w:w="556" w:type="dxa"/>
            <w:tcBorders/>
            <w:vAlign w:val="center"/>
          </w:tcPr>
          <w:p>
            <w:pPr>
              <w:pStyle w:val="TableContents"/>
              <w:bidi w:val="0"/>
              <w:spacing w:before="0" w:after="283"/>
              <w:jc w:val="left"/>
              <w:rPr/>
            </w:pPr>
            <w:hyperlink r:id="rId49">
              <w:r>
                <w:rPr>
                  <w:rStyle w:val="InternetLink"/>
                  <w:sz w:val="20"/>
                </w:rPr>
                <w:t>10.27*</w:t>
              </w:r>
            </w:hyperlink>
          </w:p>
        </w:tc>
        <w:tc>
          <w:tcPr>
            <w:tcW w:w="9649" w:type="dxa"/>
            <w:tcBorders/>
            <w:vAlign w:val="center"/>
          </w:tcPr>
          <w:p>
            <w:pPr>
              <w:pStyle w:val="TableContents"/>
              <w:bidi w:val="0"/>
              <w:spacing w:before="0" w:after="283"/>
              <w:jc w:val="both"/>
              <w:rPr>
                <w:sz w:val="20"/>
              </w:rPr>
            </w:pPr>
            <w:r>
              <w:rPr>
                <w:sz w:val="20"/>
              </w:rPr>
              <w:t>Supply Agreement, dated as of March 31, 2016, between the Company and Ester Solutions Company, incorporated by reference to Exhibit 10.1 to the Company’s Current Report on Form 8-K filed April 6, 2016.</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pPr>
            <w:hyperlink r:id="rId50">
              <w:r>
                <w:rPr>
                  <w:rStyle w:val="InternetLink"/>
                  <w:sz w:val="20"/>
                </w:rPr>
                <w:t>10.28</w:t>
              </w:r>
            </w:hyperlink>
          </w:p>
        </w:tc>
        <w:tc>
          <w:tcPr>
            <w:tcW w:w="9705" w:type="dxa"/>
            <w:tcBorders/>
            <w:vAlign w:val="center"/>
          </w:tcPr>
          <w:p>
            <w:pPr>
              <w:pStyle w:val="TableContents"/>
              <w:bidi w:val="0"/>
              <w:spacing w:before="0" w:after="283"/>
              <w:jc w:val="both"/>
              <w:rPr>
                <w:sz w:val="20"/>
              </w:rPr>
            </w:pPr>
            <w:r>
              <w:rPr>
                <w:sz w:val="20"/>
              </w:rPr>
              <w:t>First Amendment to Supply Agreement, dated May 21, 2018, by and between Nanophase Technologies Corporation and Hallstar Ester Solutions Corporation (formerly known as Ester Solutions Company), incorporated by reference to Exhibit 10.1 to the Company’s Current Report on Form 8-K filed May 25, 2018.</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E-3 </w:t>
      </w:r>
    </w:p>
    <w:p>
      <w:pPr>
        <w:pStyle w:val="TextBody"/>
        <w:bidi w:val="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pPr>
            <w:hyperlink r:id="rId51">
              <w:r>
                <w:rPr>
                  <w:rStyle w:val="InternetLink"/>
                  <w:sz w:val="20"/>
                </w:rPr>
                <w:t>10.29</w:t>
              </w:r>
            </w:hyperlink>
          </w:p>
        </w:tc>
        <w:tc>
          <w:tcPr>
            <w:tcW w:w="9705" w:type="dxa"/>
            <w:tcBorders/>
            <w:vAlign w:val="center"/>
          </w:tcPr>
          <w:p>
            <w:pPr>
              <w:pStyle w:val="TableContents"/>
              <w:bidi w:val="0"/>
              <w:spacing w:before="0" w:after="283"/>
              <w:jc w:val="both"/>
              <w:rPr>
                <w:sz w:val="20"/>
              </w:rPr>
            </w:pPr>
            <w:r>
              <w:rPr>
                <w:sz w:val="20"/>
              </w:rPr>
              <w:t>Joint Development Agreement, dated as of July 31, 2019, between the Company and Sumitomo Corporation of Americas, incorporated by reference to Exhibit 10.1 to the Company’s Current Report on Form 8-K filed August 2, 2019.</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pPr>
            <w:hyperlink r:id="rId52">
              <w:r>
                <w:rPr>
                  <w:rStyle w:val="InternetLink"/>
                  <w:sz w:val="20"/>
                </w:rPr>
                <w:t>10.30</w:t>
              </w:r>
            </w:hyperlink>
          </w:p>
        </w:tc>
        <w:tc>
          <w:tcPr>
            <w:tcW w:w="9705" w:type="dxa"/>
            <w:tcBorders/>
            <w:vAlign w:val="center"/>
          </w:tcPr>
          <w:p>
            <w:pPr>
              <w:pStyle w:val="TableContents"/>
              <w:bidi w:val="0"/>
              <w:spacing w:before="0" w:after="283"/>
              <w:jc w:val="both"/>
              <w:rPr>
                <w:sz w:val="20"/>
              </w:rPr>
            </w:pPr>
            <w:r>
              <w:rPr>
                <w:sz w:val="20"/>
              </w:rPr>
              <w:t>Joint Development &amp; Supply Agreement, dated December 12, 2016, by and between Solésence, LLC and Colorescience Inc., incorporated by reference to Exhibit 10.1 to the Company’s Current Report on Form 8-K filed May 24, 2018.</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pPr>
            <w:hyperlink r:id="rId53">
              <w:r>
                <w:rPr>
                  <w:rStyle w:val="InternetLink"/>
                  <w:sz w:val="20"/>
                </w:rPr>
                <w:t>10.31</w:t>
              </w:r>
            </w:hyperlink>
          </w:p>
        </w:tc>
        <w:tc>
          <w:tcPr>
            <w:tcW w:w="9705" w:type="dxa"/>
            <w:tcBorders/>
            <w:vAlign w:val="center"/>
          </w:tcPr>
          <w:p>
            <w:pPr>
              <w:pStyle w:val="TableContents"/>
              <w:bidi w:val="0"/>
              <w:spacing w:before="0" w:after="283"/>
              <w:jc w:val="both"/>
              <w:rPr>
                <w:sz w:val="20"/>
              </w:rPr>
            </w:pPr>
            <w:r>
              <w:rPr>
                <w:sz w:val="20"/>
              </w:rPr>
              <w:t>Amended and Restated Joint Development &amp; Supply Agreement, executed by Solésence, LLC on May 18, 2018, by and between Solésence, LLC and Colorescience Inc., incorporated by reference to Exhibit 10.1 to the Company’s Current Report on Form 8-K filed May 24, 2018.</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575"/>
        <w:gridCol w:w="9630"/>
      </w:tblGrid>
      <w:tr>
        <w:trPr/>
        <w:tc>
          <w:tcPr>
            <w:tcW w:w="575" w:type="dxa"/>
            <w:tcBorders/>
            <w:vAlign w:val="center"/>
          </w:tcPr>
          <w:p>
            <w:pPr>
              <w:pStyle w:val="TableContents"/>
              <w:bidi w:val="0"/>
              <w:spacing w:before="0" w:after="283"/>
              <w:jc w:val="left"/>
              <w:rPr/>
            </w:pPr>
            <w:r>
              <w:rPr/>
              <w:t> </w:t>
            </w:r>
            <w:hyperlink r:id="rId54">
              <w:r>
                <w:rPr>
                  <w:rStyle w:val="InternetLink"/>
                  <w:sz w:val="20"/>
                </w:rPr>
                <w:t>10.3</w:t>
              </w:r>
            </w:hyperlink>
            <w:hyperlink r:id="rId55">
              <w:r>
                <w:rPr>
                  <w:rStyle w:val="InternetLink"/>
                </w:rPr>
                <w:t>2</w:t>
              </w:r>
            </w:hyperlink>
          </w:p>
        </w:tc>
        <w:tc>
          <w:tcPr>
            <w:tcW w:w="9630" w:type="dxa"/>
            <w:tcBorders/>
            <w:vAlign w:val="center"/>
          </w:tcPr>
          <w:p>
            <w:pPr>
              <w:pStyle w:val="TableContents"/>
              <w:bidi w:val="0"/>
              <w:spacing w:before="0" w:after="283"/>
              <w:jc w:val="both"/>
              <w:rPr>
                <w:sz w:val="20"/>
              </w:rPr>
            </w:pPr>
            <w:r>
              <w:rPr>
                <w:sz w:val="20"/>
              </w:rPr>
              <w:t>Promissory Note, dated March 4, 2015, granted by the Company in favor of Libertyville Bank and Trust Company, incorporated by reference to Exhibit 10.2 to the Company’s Current Report on Form 8-K filed March 10, 2015.</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pPr>
            <w:hyperlink r:id="rId56">
              <w:r>
                <w:rPr>
                  <w:rStyle w:val="InternetLink"/>
                  <w:sz w:val="20"/>
                </w:rPr>
                <w:t>10.33</w:t>
              </w:r>
            </w:hyperlink>
          </w:p>
        </w:tc>
        <w:tc>
          <w:tcPr>
            <w:tcW w:w="9705" w:type="dxa"/>
            <w:tcBorders/>
            <w:vAlign w:val="center"/>
          </w:tcPr>
          <w:p>
            <w:pPr>
              <w:pStyle w:val="TableContents"/>
              <w:bidi w:val="0"/>
              <w:spacing w:before="0" w:after="283"/>
              <w:jc w:val="both"/>
              <w:rPr>
                <w:sz w:val="20"/>
              </w:rPr>
            </w:pPr>
            <w:r>
              <w:rPr>
                <w:sz w:val="20"/>
              </w:rPr>
              <w:t>Commercial Security Agreement, dated March 4, 2015, between the Company and Libertyville Bank and Trust Company, incorporated by reference to Exhibit 10.3 to the Company’s Current Report on Form 8-K filed March 10, 2015.</w:t>
            </w:r>
          </w:p>
        </w:tc>
      </w:tr>
      <w:tr>
        <w:trPr/>
        <w:tc>
          <w:tcPr>
            <w:tcW w:w="500" w:type="dxa"/>
            <w:tcBorders/>
            <w:vAlign w:val="center"/>
          </w:tcPr>
          <w:p>
            <w:pPr>
              <w:pStyle w:val="TableContents"/>
              <w:bidi w:val="0"/>
              <w:spacing w:before="0" w:after="283"/>
              <w:jc w:val="left"/>
              <w:rPr/>
            </w:pPr>
            <w:r>
              <w:rPr/>
              <w:t> </w:t>
            </w:r>
          </w:p>
        </w:tc>
        <w:tc>
          <w:tcPr>
            <w:tcW w:w="9705" w:type="dxa"/>
            <w:tcBorders/>
            <w:vAlign w:val="center"/>
          </w:tcPr>
          <w:p>
            <w:pPr>
              <w:pStyle w:val="TableContents"/>
              <w:bidi w:val="0"/>
              <w:spacing w:before="0" w:after="283"/>
              <w:jc w:val="both"/>
              <w:rPr/>
            </w:pPr>
            <w:r>
              <w:rPr/>
              <w:t> </w:t>
            </w:r>
          </w:p>
        </w:tc>
      </w:tr>
      <w:tr>
        <w:trPr/>
        <w:tc>
          <w:tcPr>
            <w:tcW w:w="500" w:type="dxa"/>
            <w:tcBorders/>
            <w:vAlign w:val="center"/>
          </w:tcPr>
          <w:p>
            <w:pPr>
              <w:pStyle w:val="TableContents"/>
              <w:bidi w:val="0"/>
              <w:spacing w:before="0" w:after="0"/>
              <w:ind w:left="0" w:right="0" w:hanging="0"/>
              <w:jc w:val="left"/>
              <w:rPr/>
            </w:pPr>
            <w:hyperlink r:id="rId57">
              <w:r>
                <w:rPr>
                  <w:rStyle w:val="InternetLink"/>
                  <w:rFonts w:ascii="Times New Roman;Times;Serif" w:hAnsi="Times New Roman;Times;Serif"/>
                  <w:b w:val="false"/>
                  <w:i w:val="false"/>
                  <w:caps w:val="false"/>
                  <w:smallCaps w:val="false"/>
                  <w:sz w:val="20"/>
                </w:rPr>
                <w:t>10.34</w:t>
              </w:r>
            </w:hyperlink>
          </w:p>
          <w:p>
            <w:pPr>
              <w:pStyle w:val="TableContents"/>
              <w:bidi w:val="0"/>
              <w:spacing w:before="0" w:after="0"/>
              <w:ind w:left="0" w:right="0" w:hanging="0"/>
              <w:jc w:val="left"/>
              <w:rPr>
                <w:caps w:val="false"/>
                <w:smallCaps w:val="false"/>
              </w:rPr>
            </w:pPr>
            <w:r>
              <w:rPr>
                <w:caps w:val="false"/>
                <w:smallCaps w:val="false"/>
              </w:rPr>
              <w:t> </w:t>
            </w:r>
          </w:p>
        </w:tc>
        <w:tc>
          <w:tcPr>
            <w:tcW w:w="970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Terms Agreement, dated March 4, 2016, between the Company and Libertyville Bank and Trust Company, incorporated by reference to Exhibit 10.2 of the Current Report on Form 8-K filed March 10, 2016.</w:t>
            </w:r>
          </w:p>
          <w:p>
            <w:pPr>
              <w:pStyle w:val="TableContents"/>
              <w:bidi w:val="0"/>
              <w:spacing w:before="0" w:after="0"/>
              <w:ind w:left="0" w:right="0" w:hanging="0"/>
              <w:jc w:val="both"/>
              <w:rPr>
                <w:caps w:val="false"/>
                <w:smallCaps w:val="false"/>
              </w:rPr>
            </w:pP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515"/>
        <w:gridCol w:w="9690"/>
      </w:tblGrid>
      <w:tr>
        <w:trPr/>
        <w:tc>
          <w:tcPr>
            <w:tcW w:w="515" w:type="dxa"/>
            <w:tcBorders/>
            <w:vAlign w:val="center"/>
          </w:tcPr>
          <w:p>
            <w:pPr>
              <w:pStyle w:val="TableContents"/>
              <w:bidi w:val="0"/>
              <w:spacing w:before="0" w:after="283"/>
              <w:jc w:val="left"/>
              <w:rPr/>
            </w:pPr>
            <w:hyperlink r:id="rId58">
              <w:r>
                <w:rPr>
                  <w:rStyle w:val="InternetLink"/>
                  <w:sz w:val="20"/>
                </w:rPr>
                <w:t>10.3</w:t>
              </w:r>
            </w:hyperlink>
            <w:hyperlink r:id="rId59">
              <w:r>
                <w:rPr>
                  <w:rStyle w:val="InternetLink"/>
                </w:rPr>
                <w:t>5</w:t>
              </w:r>
            </w:hyperlink>
          </w:p>
        </w:tc>
        <w:tc>
          <w:tcPr>
            <w:tcW w:w="9690" w:type="dxa"/>
            <w:tcBorders/>
            <w:vAlign w:val="center"/>
          </w:tcPr>
          <w:p>
            <w:pPr>
              <w:pStyle w:val="TableContents"/>
              <w:bidi w:val="0"/>
              <w:spacing w:before="0" w:after="283"/>
              <w:jc w:val="both"/>
              <w:rPr>
                <w:sz w:val="20"/>
              </w:rPr>
            </w:pPr>
            <w:r>
              <w:rPr>
                <w:sz w:val="20"/>
              </w:rPr>
              <w:t>Change in Terms Agreement, dated February 14, 2017, between the Company and Libertyville Bank and Trust Company, incorporated by reference to Exhibit 10.32 to the Company’s Annual Report on Form 10-K for the year ended December 31, 2016.</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515"/>
        <w:gridCol w:w="9690"/>
      </w:tblGrid>
      <w:tr>
        <w:trPr/>
        <w:tc>
          <w:tcPr>
            <w:tcW w:w="515" w:type="dxa"/>
            <w:tcBorders/>
            <w:vAlign w:val="center"/>
          </w:tcPr>
          <w:p>
            <w:pPr>
              <w:pStyle w:val="TableContents"/>
              <w:bidi w:val="0"/>
              <w:spacing w:before="0" w:after="283"/>
              <w:jc w:val="left"/>
              <w:rPr/>
            </w:pPr>
            <w:hyperlink r:id="rId60">
              <w:r>
                <w:rPr>
                  <w:rStyle w:val="InternetLink"/>
                  <w:sz w:val="20"/>
                </w:rPr>
                <w:t>10.3</w:t>
              </w:r>
            </w:hyperlink>
            <w:hyperlink r:id="rId61">
              <w:r>
                <w:rPr>
                  <w:rStyle w:val="InternetLink"/>
                </w:rPr>
                <w:t>6</w:t>
              </w:r>
            </w:hyperlink>
          </w:p>
        </w:tc>
        <w:tc>
          <w:tcPr>
            <w:tcW w:w="9690" w:type="dxa"/>
            <w:tcBorders/>
            <w:vAlign w:val="center"/>
          </w:tcPr>
          <w:p>
            <w:pPr>
              <w:pStyle w:val="TableContents"/>
              <w:bidi w:val="0"/>
              <w:spacing w:before="0" w:after="283"/>
              <w:jc w:val="both"/>
              <w:rPr>
                <w:sz w:val="20"/>
              </w:rPr>
            </w:pPr>
            <w:r>
              <w:rPr>
                <w:sz w:val="20"/>
              </w:rPr>
              <w:t>Promissory Note, executed by the Company on March 26, 2018, granted by the Company in favor of Libertyville Bank and Trust Company, incorporated by reference to Exhibit 10.34 to the Company’s Annual Report on Form 10-K for the year ended December 31, 2017.</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515"/>
        <w:gridCol w:w="9690"/>
      </w:tblGrid>
      <w:tr>
        <w:trPr/>
        <w:tc>
          <w:tcPr>
            <w:tcW w:w="515" w:type="dxa"/>
            <w:tcBorders/>
            <w:vAlign w:val="center"/>
          </w:tcPr>
          <w:p>
            <w:pPr>
              <w:pStyle w:val="TableContents"/>
              <w:bidi w:val="0"/>
              <w:spacing w:before="0" w:after="283"/>
              <w:jc w:val="left"/>
              <w:rPr/>
            </w:pPr>
            <w:hyperlink r:id="rId62">
              <w:r>
                <w:rPr>
                  <w:rStyle w:val="InternetLink"/>
                  <w:sz w:val="20"/>
                </w:rPr>
                <w:t>10.3</w:t>
              </w:r>
            </w:hyperlink>
            <w:hyperlink r:id="rId63">
              <w:r>
                <w:rPr>
                  <w:rStyle w:val="InternetLink"/>
                </w:rPr>
                <w:t>7</w:t>
              </w:r>
            </w:hyperlink>
          </w:p>
        </w:tc>
        <w:tc>
          <w:tcPr>
            <w:tcW w:w="9690" w:type="dxa"/>
            <w:tcBorders/>
            <w:vAlign w:val="center"/>
          </w:tcPr>
          <w:p>
            <w:pPr>
              <w:pStyle w:val="TableContents"/>
              <w:bidi w:val="0"/>
              <w:spacing w:before="0" w:after="283"/>
              <w:jc w:val="both"/>
              <w:rPr>
                <w:sz w:val="20"/>
              </w:rPr>
            </w:pPr>
            <w:r>
              <w:rPr>
                <w:sz w:val="20"/>
              </w:rPr>
              <w:t>Commercial Security Agreement, executed by the Company on March 26, 2018, between the Company and Libertyville Bank and Trust Company, incorporated by reference to Exhibit 10.35 to the Company’s Annual Report on Form 10-K for the year ended December 31, 2017.</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515"/>
        <w:gridCol w:w="9690"/>
      </w:tblGrid>
      <w:tr>
        <w:trPr/>
        <w:tc>
          <w:tcPr>
            <w:tcW w:w="515" w:type="dxa"/>
            <w:tcBorders/>
            <w:vAlign w:val="center"/>
          </w:tcPr>
          <w:p>
            <w:pPr>
              <w:pStyle w:val="TableContents"/>
              <w:bidi w:val="0"/>
              <w:spacing w:before="0" w:after="283"/>
              <w:jc w:val="left"/>
              <w:rPr/>
            </w:pPr>
            <w:hyperlink r:id="rId64">
              <w:r>
                <w:rPr>
                  <w:rStyle w:val="InternetLink"/>
                  <w:sz w:val="20"/>
                </w:rPr>
                <w:t>10.3</w:t>
              </w:r>
            </w:hyperlink>
            <w:hyperlink r:id="rId65">
              <w:r>
                <w:rPr>
                  <w:rStyle w:val="InternetLink"/>
                </w:rPr>
                <w:t>8</w:t>
              </w:r>
            </w:hyperlink>
          </w:p>
        </w:tc>
        <w:tc>
          <w:tcPr>
            <w:tcW w:w="9690" w:type="dxa"/>
            <w:tcBorders/>
            <w:vAlign w:val="center"/>
          </w:tcPr>
          <w:p>
            <w:pPr>
              <w:pStyle w:val="TableContents"/>
              <w:bidi w:val="0"/>
              <w:spacing w:before="0" w:after="283"/>
              <w:jc w:val="both"/>
              <w:rPr>
                <w:sz w:val="20"/>
              </w:rPr>
            </w:pPr>
            <w:r>
              <w:rPr>
                <w:sz w:val="20"/>
              </w:rPr>
              <w:t>Business Loan Agreement, executed by the Company on March 22, 2019, between the Company and Libertyville Bank and Trust Company, incorporated by reference to the Exhibit 10.32 of the Company’s Annual Report on Form 10-K for the year ended December 31, 2018.</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515"/>
        <w:gridCol w:w="9690"/>
      </w:tblGrid>
      <w:tr>
        <w:trPr/>
        <w:tc>
          <w:tcPr>
            <w:tcW w:w="515" w:type="dxa"/>
            <w:tcBorders/>
            <w:vAlign w:val="center"/>
          </w:tcPr>
          <w:p>
            <w:pPr>
              <w:pStyle w:val="TableContents"/>
              <w:bidi w:val="0"/>
              <w:spacing w:before="0" w:after="283"/>
              <w:jc w:val="left"/>
              <w:rPr/>
            </w:pPr>
            <w:hyperlink r:id="rId66">
              <w:r>
                <w:rPr>
                  <w:rStyle w:val="InternetLink"/>
                  <w:sz w:val="20"/>
                </w:rPr>
                <w:t>10.3</w:t>
              </w:r>
            </w:hyperlink>
            <w:hyperlink r:id="rId67">
              <w:r>
                <w:rPr>
                  <w:rStyle w:val="InternetLink"/>
                </w:rPr>
                <w:t>9</w:t>
              </w:r>
            </w:hyperlink>
          </w:p>
        </w:tc>
        <w:tc>
          <w:tcPr>
            <w:tcW w:w="9690" w:type="dxa"/>
            <w:tcBorders/>
            <w:vAlign w:val="center"/>
          </w:tcPr>
          <w:p>
            <w:pPr>
              <w:pStyle w:val="TableContents"/>
              <w:bidi w:val="0"/>
              <w:spacing w:before="0" w:after="283"/>
              <w:jc w:val="both"/>
              <w:rPr>
                <w:sz w:val="20"/>
              </w:rPr>
            </w:pPr>
            <w:r>
              <w:rPr>
                <w:sz w:val="20"/>
              </w:rPr>
              <w:t>Change in Terms Agreement, executed by the Company on March 22, 2019, between the Company and Libertyville Bank and Trust Company, incorporated by reference to the Exhibit 10.33 of the Company’s Annual Report on Form 10-K for the year ended December 31, 2018.</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530"/>
        <w:gridCol w:w="9675"/>
      </w:tblGrid>
      <w:tr>
        <w:trPr/>
        <w:tc>
          <w:tcPr>
            <w:tcW w:w="530" w:type="dxa"/>
            <w:tcBorders/>
            <w:vAlign w:val="center"/>
          </w:tcPr>
          <w:p>
            <w:pPr>
              <w:pStyle w:val="TableContents"/>
              <w:bidi w:val="0"/>
              <w:spacing w:before="0" w:after="283"/>
              <w:jc w:val="left"/>
              <w:rPr/>
            </w:pPr>
            <w:hyperlink r:id="rId68">
              <w:r>
                <w:rPr>
                  <w:rStyle w:val="InternetLink"/>
                  <w:sz w:val="20"/>
                </w:rPr>
                <w:t>10.</w:t>
              </w:r>
            </w:hyperlink>
            <w:hyperlink r:id="rId69">
              <w:r>
                <w:rPr>
                  <w:rStyle w:val="InternetLink"/>
                </w:rPr>
                <w:t>40</w:t>
              </w:r>
            </w:hyperlink>
          </w:p>
        </w:tc>
        <w:tc>
          <w:tcPr>
            <w:tcW w:w="9675" w:type="dxa"/>
            <w:tcBorders/>
            <w:vAlign w:val="center"/>
          </w:tcPr>
          <w:p>
            <w:pPr>
              <w:pStyle w:val="TableContents"/>
              <w:bidi w:val="0"/>
              <w:spacing w:before="0" w:after="283"/>
              <w:jc w:val="both"/>
              <w:rPr>
                <w:sz w:val="20"/>
              </w:rPr>
            </w:pPr>
            <w:r>
              <w:rPr>
                <w:sz w:val="20"/>
              </w:rPr>
              <w:t>Business Loan Agreement, dated November 16, 2018, between the Company and Beachcorp, LLC, incorporated by reference to the Company’s Quarterly Report on Form 10-Q filed November 19, 2018.</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530"/>
        <w:gridCol w:w="9675"/>
      </w:tblGrid>
      <w:tr>
        <w:trPr/>
        <w:tc>
          <w:tcPr>
            <w:tcW w:w="530" w:type="dxa"/>
            <w:tcBorders/>
            <w:vAlign w:val="center"/>
          </w:tcPr>
          <w:p>
            <w:pPr>
              <w:pStyle w:val="TableContents"/>
              <w:bidi w:val="0"/>
              <w:spacing w:before="0" w:after="283"/>
              <w:jc w:val="left"/>
              <w:rPr/>
            </w:pPr>
            <w:hyperlink r:id="rId70">
              <w:r>
                <w:rPr>
                  <w:rStyle w:val="InternetLink"/>
                  <w:sz w:val="20"/>
                </w:rPr>
                <w:t>10.</w:t>
              </w:r>
            </w:hyperlink>
            <w:hyperlink r:id="rId71">
              <w:r>
                <w:rPr>
                  <w:rStyle w:val="InternetLink"/>
                </w:rPr>
                <w:t>41</w:t>
              </w:r>
            </w:hyperlink>
          </w:p>
        </w:tc>
        <w:tc>
          <w:tcPr>
            <w:tcW w:w="9675" w:type="dxa"/>
            <w:tcBorders/>
            <w:vAlign w:val="center"/>
          </w:tcPr>
          <w:p>
            <w:pPr>
              <w:pStyle w:val="TableContents"/>
              <w:bidi w:val="0"/>
              <w:spacing w:before="0" w:after="283"/>
              <w:jc w:val="both"/>
              <w:rPr>
                <w:sz w:val="20"/>
              </w:rPr>
            </w:pPr>
            <w:r>
              <w:rPr>
                <w:sz w:val="20"/>
              </w:rPr>
              <w:t>Promissory Note, dated November 19, 2018, made by the Company and payable to the order of Beachcorp, LLC to evidence a term loan in the original principal amount of up to $500,000, incorporated by reference to the Company’s Quarterly Report on Form 10-Q filed November 19, 2018.</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515"/>
        <w:gridCol w:w="9690"/>
      </w:tblGrid>
      <w:tr>
        <w:trPr/>
        <w:tc>
          <w:tcPr>
            <w:tcW w:w="515" w:type="dxa"/>
            <w:tcBorders/>
            <w:vAlign w:val="center"/>
          </w:tcPr>
          <w:p>
            <w:pPr>
              <w:pStyle w:val="TableContents"/>
              <w:bidi w:val="0"/>
              <w:spacing w:before="0" w:after="283"/>
              <w:jc w:val="left"/>
              <w:rPr/>
            </w:pPr>
            <w:hyperlink r:id="rId72">
              <w:r>
                <w:rPr>
                  <w:rStyle w:val="InternetLink"/>
                  <w:sz w:val="20"/>
                </w:rPr>
                <w:t>10.4</w:t>
              </w:r>
            </w:hyperlink>
            <w:hyperlink r:id="rId73">
              <w:r>
                <w:rPr>
                  <w:rStyle w:val="InternetLink"/>
                </w:rPr>
                <w:t>2</w:t>
              </w:r>
            </w:hyperlink>
          </w:p>
        </w:tc>
        <w:tc>
          <w:tcPr>
            <w:tcW w:w="9690" w:type="dxa"/>
            <w:tcBorders/>
            <w:vAlign w:val="center"/>
          </w:tcPr>
          <w:p>
            <w:pPr>
              <w:pStyle w:val="TableContents"/>
              <w:bidi w:val="0"/>
              <w:spacing w:before="0" w:after="283"/>
              <w:jc w:val="both"/>
              <w:rPr>
                <w:sz w:val="20"/>
              </w:rPr>
            </w:pPr>
            <w:r>
              <w:rPr>
                <w:sz w:val="20"/>
              </w:rPr>
              <w:t>Promissory Note, dated November 19, 2018, made by the Company and payable to the order of Beachcorp, LLC to evidence revolving borrowings in a principal amount of up to $2,000,000, incorporated by reference to the Company’s Quarterly Report on Form 10-Q filed November 19, 2018.</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pPr>
            <w:hyperlink r:id="rId74">
              <w:r>
                <w:rPr>
                  <w:rStyle w:val="InternetLink"/>
                  <w:sz w:val="20"/>
                </w:rPr>
                <w:t>10.43</w:t>
              </w:r>
            </w:hyperlink>
          </w:p>
        </w:tc>
        <w:tc>
          <w:tcPr>
            <w:tcW w:w="9705" w:type="dxa"/>
            <w:tcBorders/>
            <w:vAlign w:val="center"/>
          </w:tcPr>
          <w:p>
            <w:pPr>
              <w:pStyle w:val="TableContents"/>
              <w:bidi w:val="0"/>
              <w:spacing w:before="0" w:after="283"/>
              <w:jc w:val="both"/>
              <w:rPr>
                <w:sz w:val="20"/>
              </w:rPr>
            </w:pPr>
            <w:r>
              <w:rPr>
                <w:sz w:val="20"/>
              </w:rPr>
              <w:t>First Amendment to Business Loan Agreement, dated March 23, 2020, between the Company and Beachcorp, LLC, incorporated by reference to the Company’s Annual Report on Form 10-K filed March 30, 2020.</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pPr>
            <w:hyperlink r:id="rId75">
              <w:r>
                <w:rPr>
                  <w:rStyle w:val="InternetLink"/>
                  <w:sz w:val="20"/>
                </w:rPr>
                <w:t>10.44</w:t>
              </w:r>
            </w:hyperlink>
          </w:p>
        </w:tc>
        <w:tc>
          <w:tcPr>
            <w:tcW w:w="9705" w:type="dxa"/>
            <w:tcBorders/>
            <w:vAlign w:val="center"/>
          </w:tcPr>
          <w:p>
            <w:pPr>
              <w:pStyle w:val="TableContents"/>
              <w:bidi w:val="0"/>
              <w:spacing w:before="0" w:after="283"/>
              <w:jc w:val="both"/>
              <w:rPr>
                <w:sz w:val="20"/>
              </w:rPr>
            </w:pPr>
            <w:r>
              <w:rPr>
                <w:sz w:val="20"/>
              </w:rPr>
              <w:t>Fourth Amendment to Business Loan Agreement, dated April 21, 2021, between the Company and Beachcorp, LLC, incorporated by reference to Exhibit 10.1 to the Company’s Current Report on Form 8-K filed April 21, 2021.</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pPr>
            <w:hyperlink r:id="rId76">
              <w:r>
                <w:rPr>
                  <w:rStyle w:val="InternetLink"/>
                  <w:sz w:val="20"/>
                </w:rPr>
                <w:t>10.45</w:t>
              </w:r>
            </w:hyperlink>
          </w:p>
        </w:tc>
        <w:tc>
          <w:tcPr>
            <w:tcW w:w="9705" w:type="dxa"/>
            <w:tcBorders/>
            <w:vAlign w:val="center"/>
          </w:tcPr>
          <w:p>
            <w:pPr>
              <w:pStyle w:val="TableContents"/>
              <w:bidi w:val="0"/>
              <w:spacing w:before="0" w:after="283"/>
              <w:jc w:val="both"/>
              <w:rPr>
                <w:sz w:val="20"/>
              </w:rPr>
            </w:pPr>
            <w:r>
              <w:rPr>
                <w:sz w:val="20"/>
              </w:rPr>
              <w:t>Business Loan Agreement, dated January 28, 2022, between the Company and Beachcorp, LLC, incorporated by reference to Exhibit 10.1 to the Company’s Current Report on Form 8-K filed February 2, 2022.</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E-4 </w:t>
      </w:r>
    </w:p>
    <w:p>
      <w:pPr>
        <w:pStyle w:val="TextBody"/>
        <w:bidi w:val="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pPr>
            <w:hyperlink r:id="rId77">
              <w:r>
                <w:rPr>
                  <w:rStyle w:val="InternetLink"/>
                  <w:sz w:val="20"/>
                </w:rPr>
                <w:t>10.46</w:t>
              </w:r>
            </w:hyperlink>
          </w:p>
        </w:tc>
        <w:tc>
          <w:tcPr>
            <w:tcW w:w="9705" w:type="dxa"/>
            <w:tcBorders/>
            <w:vAlign w:val="center"/>
          </w:tcPr>
          <w:p>
            <w:pPr>
              <w:pStyle w:val="TableContents"/>
              <w:bidi w:val="0"/>
              <w:spacing w:before="0" w:after="283"/>
              <w:jc w:val="both"/>
              <w:rPr>
                <w:sz w:val="20"/>
              </w:rPr>
            </w:pPr>
            <w:r>
              <w:rPr>
                <w:sz w:val="20"/>
              </w:rPr>
              <w:t>Business Loan Agreement, dated January 28, 2022, between the Company and Strandler, LLC, incorporated by reference to Exhibit 10.2 to the Company’s Current Report on Form 8-K filed February 2, 2022.</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pPr>
            <w:hyperlink r:id="rId78">
              <w:r>
                <w:rPr>
                  <w:rStyle w:val="InternetLink"/>
                  <w:sz w:val="20"/>
                </w:rPr>
                <w:t>10.47</w:t>
              </w:r>
            </w:hyperlink>
          </w:p>
        </w:tc>
        <w:tc>
          <w:tcPr>
            <w:tcW w:w="9705" w:type="dxa"/>
            <w:tcBorders/>
            <w:vAlign w:val="center"/>
          </w:tcPr>
          <w:p>
            <w:pPr>
              <w:pStyle w:val="TableContents"/>
              <w:bidi w:val="0"/>
              <w:spacing w:before="0" w:after="283"/>
              <w:jc w:val="both"/>
              <w:rPr>
                <w:sz w:val="20"/>
              </w:rPr>
            </w:pPr>
            <w:r>
              <w:rPr>
                <w:sz w:val="20"/>
              </w:rPr>
              <w:t>Amended and Restated Business Loan Agreement, dated January 28, 2022, between the Company and Beachcorp, LLC, incorporated by reference to Exhibit 10.3 to the Company’s Current Report on Form 8-K filed February 2, 2022.</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pPr>
            <w:hyperlink r:id="rId79">
              <w:r>
                <w:rPr>
                  <w:rStyle w:val="InternetLink"/>
                  <w:sz w:val="20"/>
                </w:rPr>
                <w:t>10.48</w:t>
              </w:r>
            </w:hyperlink>
          </w:p>
        </w:tc>
        <w:tc>
          <w:tcPr>
            <w:tcW w:w="9705" w:type="dxa"/>
            <w:tcBorders/>
            <w:vAlign w:val="center"/>
          </w:tcPr>
          <w:p>
            <w:pPr>
              <w:pStyle w:val="TableContents"/>
              <w:bidi w:val="0"/>
              <w:spacing w:before="0" w:after="283"/>
              <w:jc w:val="both"/>
              <w:rPr>
                <w:sz w:val="20"/>
              </w:rPr>
            </w:pPr>
            <w:r>
              <w:rPr>
                <w:sz w:val="20"/>
              </w:rPr>
              <w:t xml:space="preserve">Replacement Promissory Note, dated January 28, 2022, </w:t>
            </w:r>
            <w:r>
              <w:rPr>
                <w:sz w:val="20"/>
                <w:shd w:fill="FFFFFF" w:val="clear"/>
              </w:rPr>
              <w:t>made by the Company and payable to the order of Beachcorp, LLC to evidence revolving borrowings in a principal amount of up to $8,000,000</w:t>
            </w:r>
            <w:r>
              <w:rPr>
                <w:sz w:val="20"/>
              </w:rPr>
              <w:t>, incorporated by reference to Exhibit 10.4 to the Company’s Current Report on Form 8-K filed February 2, 2022.</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pPr>
            <w:hyperlink r:id="rId80">
              <w:r>
                <w:rPr>
                  <w:rStyle w:val="InternetLink"/>
                  <w:sz w:val="20"/>
                </w:rPr>
                <w:t>10.49</w:t>
              </w:r>
            </w:hyperlink>
          </w:p>
        </w:tc>
        <w:tc>
          <w:tcPr>
            <w:tcW w:w="9705" w:type="dxa"/>
            <w:tcBorders/>
            <w:vAlign w:val="center"/>
          </w:tcPr>
          <w:p>
            <w:pPr>
              <w:pStyle w:val="TableContents"/>
              <w:bidi w:val="0"/>
              <w:spacing w:before="0" w:after="283"/>
              <w:jc w:val="both"/>
              <w:rPr>
                <w:sz w:val="20"/>
              </w:rPr>
            </w:pPr>
            <w:r>
              <w:rPr>
                <w:sz w:val="20"/>
              </w:rPr>
              <w:t xml:space="preserve">Promissory Note, dated January 28, 2022, </w:t>
            </w:r>
            <w:r>
              <w:rPr>
                <w:sz w:val="20"/>
                <w:shd w:fill="FFFFFF" w:val="clear"/>
              </w:rPr>
              <w:t>made by the Company and payable to the order of Strandler, LLC to evidence a term loan in the original principal amount of up to $1,000,000</w:t>
            </w:r>
            <w:r>
              <w:rPr>
                <w:sz w:val="20"/>
              </w:rPr>
              <w:t>, incorporated by reference to Exhibit 10.5 to the Company’s Current Report on Form 8-K filed February 2, 2022.</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pPr>
            <w:hyperlink r:id="rId81">
              <w:r>
                <w:rPr>
                  <w:rStyle w:val="InternetLink"/>
                  <w:sz w:val="20"/>
                </w:rPr>
                <w:t>10.50</w:t>
              </w:r>
            </w:hyperlink>
          </w:p>
        </w:tc>
        <w:tc>
          <w:tcPr>
            <w:tcW w:w="9705" w:type="dxa"/>
            <w:tcBorders/>
            <w:vAlign w:val="center"/>
          </w:tcPr>
          <w:p>
            <w:pPr>
              <w:pStyle w:val="TableContents"/>
              <w:bidi w:val="0"/>
              <w:spacing w:before="0" w:after="283"/>
              <w:jc w:val="both"/>
              <w:rPr>
                <w:sz w:val="20"/>
              </w:rPr>
            </w:pPr>
            <w:r>
              <w:rPr>
                <w:sz w:val="20"/>
              </w:rPr>
              <w:t xml:space="preserve">Promissory Note, dated January 28, 2022, </w:t>
            </w:r>
            <w:r>
              <w:rPr>
                <w:sz w:val="20"/>
                <w:shd w:fill="FFFFFF" w:val="clear"/>
              </w:rPr>
              <w:t>made by the Company and payable to the order of Beachcorp, LLC to evidence revolving borrowings in a principal amount of up to $4,000,000</w:t>
            </w:r>
            <w:r>
              <w:rPr>
                <w:sz w:val="20"/>
              </w:rPr>
              <w:t>, incorporated by reference to Exhibit 10.6 to the Company’s Current Report on Form 8-K filed February 2, 2022.</w:t>
            </w:r>
          </w:p>
        </w:tc>
      </w:tr>
      <w:tr>
        <w:trPr/>
        <w:tc>
          <w:tcPr>
            <w:tcW w:w="500" w:type="dxa"/>
            <w:tcBorders/>
            <w:vAlign w:val="center"/>
          </w:tcPr>
          <w:p>
            <w:pPr>
              <w:pStyle w:val="TableContents"/>
              <w:bidi w:val="0"/>
              <w:spacing w:before="0" w:after="283"/>
              <w:jc w:val="left"/>
              <w:rPr/>
            </w:pPr>
            <w:r>
              <w:rPr/>
              <w:t> </w:t>
            </w:r>
          </w:p>
        </w:tc>
        <w:tc>
          <w:tcPr>
            <w:tcW w:w="9705" w:type="dxa"/>
            <w:tcBorders/>
            <w:vAlign w:val="center"/>
          </w:tcPr>
          <w:p>
            <w:pPr>
              <w:pStyle w:val="TableContents"/>
              <w:bidi w:val="0"/>
              <w:spacing w:before="0" w:after="283"/>
              <w:jc w:val="both"/>
              <w:rPr/>
            </w:pPr>
            <w:r>
              <w:rPr/>
              <w:t> </w:t>
            </w:r>
          </w:p>
        </w:tc>
      </w:tr>
      <w:tr>
        <w:trPr/>
        <w:tc>
          <w:tcPr>
            <w:tcW w:w="500" w:type="dxa"/>
            <w:tcBorders/>
            <w:vAlign w:val="center"/>
          </w:tcPr>
          <w:p>
            <w:pPr>
              <w:pStyle w:val="TableContents"/>
              <w:bidi w:val="0"/>
              <w:spacing w:before="0" w:after="283"/>
              <w:jc w:val="left"/>
              <w:rPr/>
            </w:pPr>
            <w:hyperlink r:id="rId82">
              <w:r>
                <w:rPr>
                  <w:rStyle w:val="InternetLink"/>
                  <w:sz w:val="20"/>
                </w:rPr>
                <w:t>10.51</w:t>
              </w:r>
            </w:hyperlink>
          </w:p>
        </w:tc>
        <w:tc>
          <w:tcPr>
            <w:tcW w:w="9705" w:type="dxa"/>
            <w:tcBorders/>
            <w:vAlign w:val="center"/>
          </w:tcPr>
          <w:p>
            <w:pPr>
              <w:pStyle w:val="TableContents"/>
              <w:bidi w:val="0"/>
              <w:spacing w:before="0" w:after="283"/>
              <w:jc w:val="both"/>
              <w:rPr/>
            </w:pPr>
            <w:r>
              <w:rPr>
                <w:sz w:val="20"/>
                <w:shd w:fill="FFFFFF" w:val="clear"/>
              </w:rPr>
              <w:t>First Amendment to Amended and Restated Business Loan Agreement with Beachcorp, LLC</w:t>
            </w:r>
            <w:r>
              <w:rPr>
                <w:sz w:val="20"/>
              </w:rPr>
              <w:t>, incorporated by reference to Exhibit 10.1 to the Company’s Quarterly Report on Form 10-Q for the quarter ended September 30, 2023, SEC File No. 000-22333.</w:t>
            </w:r>
          </w:p>
        </w:tc>
      </w:tr>
      <w:tr>
        <w:trPr/>
        <w:tc>
          <w:tcPr>
            <w:tcW w:w="500" w:type="dxa"/>
            <w:tcBorders/>
            <w:vAlign w:val="center"/>
          </w:tcPr>
          <w:p>
            <w:pPr>
              <w:pStyle w:val="TableContents"/>
              <w:bidi w:val="0"/>
              <w:spacing w:before="0" w:after="283"/>
              <w:jc w:val="left"/>
              <w:rPr/>
            </w:pPr>
            <w:r>
              <w:rPr/>
              <w:t> </w:t>
            </w:r>
          </w:p>
        </w:tc>
        <w:tc>
          <w:tcPr>
            <w:tcW w:w="9705" w:type="dxa"/>
            <w:tcBorders/>
            <w:vAlign w:val="center"/>
          </w:tcPr>
          <w:p>
            <w:pPr>
              <w:pStyle w:val="TableContents"/>
              <w:bidi w:val="0"/>
              <w:spacing w:before="0" w:after="283"/>
              <w:jc w:val="both"/>
              <w:rPr/>
            </w:pPr>
            <w:r>
              <w:rPr/>
              <w:t> </w:t>
            </w:r>
          </w:p>
        </w:tc>
      </w:tr>
      <w:tr>
        <w:trPr/>
        <w:tc>
          <w:tcPr>
            <w:tcW w:w="500" w:type="dxa"/>
            <w:tcBorders/>
            <w:vAlign w:val="center"/>
          </w:tcPr>
          <w:p>
            <w:pPr>
              <w:pStyle w:val="TableContents"/>
              <w:bidi w:val="0"/>
              <w:spacing w:before="0" w:after="283"/>
              <w:jc w:val="left"/>
              <w:rPr/>
            </w:pPr>
            <w:hyperlink r:id="rId83">
              <w:r>
                <w:rPr>
                  <w:rStyle w:val="InternetLink"/>
                  <w:sz w:val="20"/>
                </w:rPr>
                <w:t>10.52</w:t>
              </w:r>
            </w:hyperlink>
          </w:p>
        </w:tc>
        <w:tc>
          <w:tcPr>
            <w:tcW w:w="9705" w:type="dxa"/>
            <w:tcBorders/>
            <w:vAlign w:val="center"/>
          </w:tcPr>
          <w:p>
            <w:pPr>
              <w:pStyle w:val="TableContents"/>
              <w:bidi w:val="0"/>
              <w:spacing w:before="0" w:after="283"/>
              <w:jc w:val="both"/>
              <w:rPr/>
            </w:pPr>
            <w:r>
              <w:rPr>
                <w:sz w:val="20"/>
                <w:shd w:fill="FFFFFF" w:val="clear"/>
              </w:rPr>
              <w:t xml:space="preserve">Replacement Promissory Note with Beachcorp,LLC, </w:t>
            </w:r>
            <w:r>
              <w:rPr>
                <w:sz w:val="20"/>
              </w:rPr>
              <w:t>incorporated by reference to Exhibit 10.2 to the Company’s Quarterly Report on Form 10-Q for the quarter ended September 30, 2023, SEC File No. 000-22333.</w:t>
            </w:r>
          </w:p>
        </w:tc>
      </w:tr>
      <w:tr>
        <w:trPr/>
        <w:tc>
          <w:tcPr>
            <w:tcW w:w="500" w:type="dxa"/>
            <w:tcBorders/>
            <w:vAlign w:val="center"/>
          </w:tcPr>
          <w:p>
            <w:pPr>
              <w:pStyle w:val="TableContents"/>
              <w:bidi w:val="0"/>
              <w:spacing w:before="0" w:after="283"/>
              <w:jc w:val="left"/>
              <w:rPr/>
            </w:pPr>
            <w:r>
              <w:rPr/>
              <w:t> </w:t>
            </w:r>
          </w:p>
        </w:tc>
        <w:tc>
          <w:tcPr>
            <w:tcW w:w="9705" w:type="dxa"/>
            <w:tcBorders/>
            <w:vAlign w:val="center"/>
          </w:tcPr>
          <w:p>
            <w:pPr>
              <w:pStyle w:val="TableContents"/>
              <w:bidi w:val="0"/>
              <w:spacing w:before="0" w:after="283"/>
              <w:jc w:val="both"/>
              <w:rPr/>
            </w:pPr>
            <w:r>
              <w:rPr/>
              <w:t> </w:t>
            </w:r>
          </w:p>
        </w:tc>
      </w:tr>
      <w:tr>
        <w:trPr/>
        <w:tc>
          <w:tcPr>
            <w:tcW w:w="500" w:type="dxa"/>
            <w:tcBorders/>
            <w:vAlign w:val="center"/>
          </w:tcPr>
          <w:p>
            <w:pPr>
              <w:pStyle w:val="TableContents"/>
              <w:bidi w:val="0"/>
              <w:spacing w:before="0" w:after="283"/>
              <w:jc w:val="left"/>
              <w:rPr/>
            </w:pPr>
            <w:hyperlink r:id="rId84">
              <w:r>
                <w:rPr>
                  <w:rStyle w:val="InternetLink"/>
                  <w:sz w:val="20"/>
                </w:rPr>
                <w:t>10.53</w:t>
              </w:r>
            </w:hyperlink>
          </w:p>
        </w:tc>
        <w:tc>
          <w:tcPr>
            <w:tcW w:w="9705" w:type="dxa"/>
            <w:tcBorders/>
            <w:vAlign w:val="center"/>
          </w:tcPr>
          <w:p>
            <w:pPr>
              <w:pStyle w:val="TableContents"/>
              <w:bidi w:val="0"/>
              <w:spacing w:before="0" w:after="283"/>
              <w:jc w:val="both"/>
              <w:rPr/>
            </w:pPr>
            <w:r>
              <w:rPr>
                <w:sz w:val="20"/>
                <w:shd w:fill="FFFFFF" w:val="clear"/>
              </w:rPr>
              <w:t xml:space="preserve">First Amendment to Business Loan Agreement with Beachcorp, LLC, </w:t>
            </w:r>
            <w:r>
              <w:rPr>
                <w:sz w:val="20"/>
              </w:rPr>
              <w:t>incorporated by reference to Exhibit 10.3 to the Company’s Quarterly Report on Form 10-Q for the quarter ended September 30, 2023, SEC File No. 000-22333.</w:t>
            </w:r>
          </w:p>
        </w:tc>
      </w:tr>
      <w:tr>
        <w:trPr/>
        <w:tc>
          <w:tcPr>
            <w:tcW w:w="500" w:type="dxa"/>
            <w:tcBorders/>
            <w:vAlign w:val="center"/>
          </w:tcPr>
          <w:p>
            <w:pPr>
              <w:pStyle w:val="TableContents"/>
              <w:bidi w:val="0"/>
              <w:spacing w:before="0" w:after="283"/>
              <w:jc w:val="left"/>
              <w:rPr/>
            </w:pPr>
            <w:r>
              <w:rPr/>
              <w:t> </w:t>
            </w:r>
          </w:p>
        </w:tc>
        <w:tc>
          <w:tcPr>
            <w:tcW w:w="9705" w:type="dxa"/>
            <w:tcBorders/>
            <w:vAlign w:val="center"/>
          </w:tcPr>
          <w:p>
            <w:pPr>
              <w:pStyle w:val="TableContents"/>
              <w:bidi w:val="0"/>
              <w:spacing w:before="0" w:after="283"/>
              <w:jc w:val="both"/>
              <w:rPr/>
            </w:pPr>
            <w:r>
              <w:rPr/>
              <w:t> </w:t>
            </w:r>
          </w:p>
        </w:tc>
      </w:tr>
      <w:tr>
        <w:trPr/>
        <w:tc>
          <w:tcPr>
            <w:tcW w:w="500" w:type="dxa"/>
            <w:tcBorders/>
            <w:vAlign w:val="center"/>
          </w:tcPr>
          <w:p>
            <w:pPr>
              <w:pStyle w:val="TableContents"/>
              <w:bidi w:val="0"/>
              <w:spacing w:before="0" w:after="283"/>
              <w:jc w:val="left"/>
              <w:rPr/>
            </w:pPr>
            <w:hyperlink r:id="rId85">
              <w:r>
                <w:rPr>
                  <w:rStyle w:val="InternetLink"/>
                  <w:sz w:val="20"/>
                </w:rPr>
                <w:t>10.54</w:t>
              </w:r>
            </w:hyperlink>
          </w:p>
        </w:tc>
        <w:tc>
          <w:tcPr>
            <w:tcW w:w="9705" w:type="dxa"/>
            <w:tcBorders/>
            <w:vAlign w:val="center"/>
          </w:tcPr>
          <w:p>
            <w:pPr>
              <w:pStyle w:val="TableContents"/>
              <w:bidi w:val="0"/>
              <w:spacing w:before="0" w:after="283"/>
              <w:jc w:val="both"/>
              <w:rPr/>
            </w:pPr>
            <w:r>
              <w:rPr>
                <w:sz w:val="20"/>
                <w:shd w:fill="FFFFFF" w:val="clear"/>
              </w:rPr>
              <w:t xml:space="preserve">First Amendment to Business Loan Agreement with Strandler, LLC, </w:t>
            </w:r>
            <w:r>
              <w:rPr>
                <w:sz w:val="20"/>
              </w:rPr>
              <w:t>incorporated by reference to Exhibit 10.4 to the Company’s Quarterly Report on Form 10-Q for the quarter ended September 30, 2023, SEC File No. 000-22333.</w:t>
            </w:r>
          </w:p>
        </w:tc>
      </w:tr>
      <w:tr>
        <w:trPr/>
        <w:tc>
          <w:tcPr>
            <w:tcW w:w="500" w:type="dxa"/>
            <w:tcBorders/>
            <w:vAlign w:val="center"/>
          </w:tcPr>
          <w:p>
            <w:pPr>
              <w:pStyle w:val="TableContents"/>
              <w:bidi w:val="0"/>
              <w:spacing w:before="0" w:after="283"/>
              <w:jc w:val="left"/>
              <w:rPr/>
            </w:pPr>
            <w:r>
              <w:rPr/>
              <w:t> </w:t>
            </w:r>
          </w:p>
        </w:tc>
        <w:tc>
          <w:tcPr>
            <w:tcW w:w="9705" w:type="dxa"/>
            <w:tcBorders/>
            <w:vAlign w:val="center"/>
          </w:tcPr>
          <w:p>
            <w:pPr>
              <w:pStyle w:val="TableContents"/>
              <w:bidi w:val="0"/>
              <w:spacing w:before="0" w:after="283"/>
              <w:jc w:val="both"/>
              <w:rPr/>
            </w:pPr>
            <w:r>
              <w:rPr/>
              <w:t> </w:t>
            </w:r>
          </w:p>
        </w:tc>
      </w:tr>
      <w:tr>
        <w:trPr/>
        <w:tc>
          <w:tcPr>
            <w:tcW w:w="500" w:type="dxa"/>
            <w:tcBorders/>
            <w:vAlign w:val="center"/>
          </w:tcPr>
          <w:p>
            <w:pPr>
              <w:pStyle w:val="TableContents"/>
              <w:bidi w:val="0"/>
              <w:spacing w:before="0" w:after="283"/>
              <w:jc w:val="left"/>
              <w:rPr/>
            </w:pPr>
            <w:hyperlink r:id="rId86">
              <w:r>
                <w:rPr>
                  <w:rStyle w:val="InternetLink"/>
                  <w:sz w:val="20"/>
                </w:rPr>
                <w:t>10.55</w:t>
              </w:r>
            </w:hyperlink>
          </w:p>
        </w:tc>
        <w:tc>
          <w:tcPr>
            <w:tcW w:w="9705" w:type="dxa"/>
            <w:tcBorders/>
            <w:vAlign w:val="center"/>
          </w:tcPr>
          <w:p>
            <w:pPr>
              <w:pStyle w:val="TableContents"/>
              <w:bidi w:val="0"/>
              <w:spacing w:before="0" w:after="283"/>
              <w:jc w:val="both"/>
              <w:rPr/>
            </w:pPr>
            <w:r>
              <w:rPr>
                <w:sz w:val="20"/>
                <w:shd w:fill="FFFFFF" w:val="clear"/>
              </w:rPr>
              <w:t xml:space="preserve">Promissory Note with Strandler, LLC, </w:t>
            </w:r>
            <w:r>
              <w:rPr>
                <w:sz w:val="20"/>
              </w:rPr>
              <w:t>incorporated by reference to Exhibit 10.5 to the Company’s Quarterly Report on Form 10-Q for the quarter ended September 30, 2023, SEC File No. 000-22333.</w:t>
            </w:r>
          </w:p>
        </w:tc>
      </w:tr>
      <w:tr>
        <w:trPr/>
        <w:tc>
          <w:tcPr>
            <w:tcW w:w="500" w:type="dxa"/>
            <w:tcBorders/>
            <w:vAlign w:val="center"/>
          </w:tcPr>
          <w:p>
            <w:pPr>
              <w:pStyle w:val="TableContents"/>
              <w:bidi w:val="0"/>
              <w:spacing w:before="0" w:after="283"/>
              <w:jc w:val="left"/>
              <w:rPr/>
            </w:pPr>
            <w:r>
              <w:rPr/>
              <w:t> </w:t>
            </w:r>
          </w:p>
        </w:tc>
        <w:tc>
          <w:tcPr>
            <w:tcW w:w="9705" w:type="dxa"/>
            <w:tcBorders/>
            <w:vAlign w:val="center"/>
          </w:tcPr>
          <w:p>
            <w:pPr>
              <w:pStyle w:val="TableContents"/>
              <w:bidi w:val="0"/>
              <w:spacing w:before="0" w:after="283"/>
              <w:jc w:val="both"/>
              <w:rPr/>
            </w:pPr>
            <w:r>
              <w:rPr/>
              <w:t> </w:t>
            </w:r>
          </w:p>
        </w:tc>
      </w:tr>
      <w:tr>
        <w:trPr/>
        <w:tc>
          <w:tcPr>
            <w:tcW w:w="500" w:type="dxa"/>
            <w:tcBorders/>
            <w:vAlign w:val="center"/>
          </w:tcPr>
          <w:p>
            <w:pPr>
              <w:pStyle w:val="TableContents"/>
              <w:bidi w:val="0"/>
              <w:spacing w:before="0" w:after="283"/>
              <w:jc w:val="left"/>
              <w:rPr/>
            </w:pPr>
            <w:hyperlink r:id="rId87">
              <w:r>
                <w:rPr>
                  <w:rStyle w:val="InternetLink"/>
                  <w:sz w:val="20"/>
                </w:rPr>
                <w:t>10.56</w:t>
              </w:r>
            </w:hyperlink>
          </w:p>
        </w:tc>
        <w:tc>
          <w:tcPr>
            <w:tcW w:w="9705" w:type="dxa"/>
            <w:tcBorders/>
            <w:vAlign w:val="center"/>
          </w:tcPr>
          <w:p>
            <w:pPr>
              <w:pStyle w:val="TableContents"/>
              <w:bidi w:val="0"/>
              <w:spacing w:before="0" w:after="283"/>
              <w:jc w:val="both"/>
              <w:rPr/>
            </w:pPr>
            <w:r>
              <w:rPr>
                <w:sz w:val="20"/>
                <w:shd w:fill="FFFFFF" w:val="clear"/>
              </w:rPr>
              <w:t xml:space="preserve">Securities Purchase Agreement with Strandler, LLC, </w:t>
            </w:r>
            <w:r>
              <w:rPr>
                <w:sz w:val="20"/>
              </w:rPr>
              <w:t>incorporated by reference to Exhibit 10.1 to the Company’s Current Report on Form 8-K filed March 5, 2024, SEC File No. 000-22333.</w:t>
            </w:r>
          </w:p>
        </w:tc>
      </w:tr>
      <w:tr>
        <w:trPr/>
        <w:tc>
          <w:tcPr>
            <w:tcW w:w="500" w:type="dxa"/>
            <w:tcBorders/>
            <w:vAlign w:val="center"/>
          </w:tcPr>
          <w:p>
            <w:pPr>
              <w:pStyle w:val="TableContents"/>
              <w:bidi w:val="0"/>
              <w:spacing w:before="0" w:after="283"/>
              <w:jc w:val="left"/>
              <w:rPr/>
            </w:pPr>
            <w:r>
              <w:rPr/>
              <w:t> </w:t>
            </w:r>
          </w:p>
        </w:tc>
        <w:tc>
          <w:tcPr>
            <w:tcW w:w="9705" w:type="dxa"/>
            <w:tcBorders/>
            <w:vAlign w:val="center"/>
          </w:tcPr>
          <w:p>
            <w:pPr>
              <w:pStyle w:val="TableContents"/>
              <w:bidi w:val="0"/>
              <w:spacing w:before="0" w:after="283"/>
              <w:jc w:val="both"/>
              <w:rPr/>
            </w:pPr>
            <w:r>
              <w:rPr/>
              <w:t> </w:t>
            </w:r>
          </w:p>
        </w:tc>
      </w:tr>
      <w:tr>
        <w:trPr/>
        <w:tc>
          <w:tcPr>
            <w:tcW w:w="500" w:type="dxa"/>
            <w:tcBorders/>
            <w:vAlign w:val="center"/>
          </w:tcPr>
          <w:p>
            <w:pPr>
              <w:pStyle w:val="TableContents"/>
              <w:bidi w:val="0"/>
              <w:spacing w:before="0" w:after="283"/>
              <w:jc w:val="left"/>
              <w:rPr/>
            </w:pPr>
            <w:hyperlink r:id="rId88">
              <w:r>
                <w:rPr>
                  <w:rStyle w:val="InternetLink"/>
                  <w:sz w:val="20"/>
                </w:rPr>
                <w:t>10.57</w:t>
              </w:r>
            </w:hyperlink>
          </w:p>
        </w:tc>
        <w:tc>
          <w:tcPr>
            <w:tcW w:w="9705" w:type="dxa"/>
            <w:tcBorders/>
            <w:vAlign w:val="center"/>
          </w:tcPr>
          <w:p>
            <w:pPr>
              <w:pStyle w:val="TableContents"/>
              <w:bidi w:val="0"/>
              <w:spacing w:before="0" w:after="283"/>
              <w:jc w:val="both"/>
              <w:rPr/>
            </w:pPr>
            <w:r>
              <w:rPr>
                <w:sz w:val="20"/>
                <w:shd w:fill="FFFFFF" w:val="clear"/>
              </w:rPr>
              <w:t xml:space="preserve">Second Amendment to Business Loan Agreement with Strandler, LLC, </w:t>
            </w:r>
            <w:r>
              <w:rPr>
                <w:sz w:val="20"/>
              </w:rPr>
              <w:t>incorporated by reference to Exhibit 10.2 to the Company’s Current Report on Form 8-K filed March 5, 2024, SEC File No. 000-22333.</w:t>
            </w:r>
          </w:p>
        </w:tc>
      </w:tr>
      <w:tr>
        <w:trPr/>
        <w:tc>
          <w:tcPr>
            <w:tcW w:w="500" w:type="dxa"/>
            <w:tcBorders/>
            <w:vAlign w:val="center"/>
          </w:tcPr>
          <w:p>
            <w:pPr>
              <w:pStyle w:val="TableContents"/>
              <w:bidi w:val="0"/>
              <w:spacing w:before="0" w:after="283"/>
              <w:jc w:val="left"/>
              <w:rPr/>
            </w:pPr>
            <w:r>
              <w:rPr/>
              <w:t> </w:t>
            </w:r>
          </w:p>
        </w:tc>
        <w:tc>
          <w:tcPr>
            <w:tcW w:w="9705" w:type="dxa"/>
            <w:tcBorders/>
            <w:vAlign w:val="center"/>
          </w:tcPr>
          <w:p>
            <w:pPr>
              <w:pStyle w:val="TableContents"/>
              <w:bidi w:val="0"/>
              <w:spacing w:before="0" w:after="283"/>
              <w:jc w:val="both"/>
              <w:rPr/>
            </w:pPr>
            <w:r>
              <w:rPr/>
              <w:t> </w:t>
            </w:r>
          </w:p>
        </w:tc>
      </w:tr>
      <w:tr>
        <w:trPr/>
        <w:tc>
          <w:tcPr>
            <w:tcW w:w="500" w:type="dxa"/>
            <w:tcBorders/>
            <w:vAlign w:val="center"/>
          </w:tcPr>
          <w:p>
            <w:pPr>
              <w:pStyle w:val="TableContents"/>
              <w:bidi w:val="0"/>
              <w:spacing w:before="0" w:after="283"/>
              <w:jc w:val="left"/>
              <w:rPr/>
            </w:pPr>
            <w:hyperlink r:id="rId89">
              <w:r>
                <w:rPr>
                  <w:rStyle w:val="InternetLink"/>
                  <w:sz w:val="20"/>
                </w:rPr>
                <w:t>10.58</w:t>
              </w:r>
            </w:hyperlink>
          </w:p>
        </w:tc>
        <w:tc>
          <w:tcPr>
            <w:tcW w:w="9705" w:type="dxa"/>
            <w:tcBorders/>
            <w:vAlign w:val="center"/>
          </w:tcPr>
          <w:p>
            <w:pPr>
              <w:pStyle w:val="TableContents"/>
              <w:bidi w:val="0"/>
              <w:spacing w:before="0" w:after="283"/>
              <w:jc w:val="both"/>
              <w:rPr/>
            </w:pPr>
            <w:r>
              <w:rPr>
                <w:sz w:val="20"/>
                <w:shd w:fill="FFFFFF" w:val="clear"/>
              </w:rPr>
              <w:t xml:space="preserve">Second Amendment to Amended and Restated Business Loan Agreement with Beachcorp, LLC, </w:t>
            </w:r>
            <w:r>
              <w:rPr>
                <w:sz w:val="20"/>
              </w:rPr>
              <w:t>incorporated by reference to Exhibit 10.3 to the Company’s Current Report on Form 8-K filed March 5, 2024, SEC File No. 000-22333.</w:t>
            </w:r>
          </w:p>
        </w:tc>
      </w:tr>
      <w:tr>
        <w:trPr/>
        <w:tc>
          <w:tcPr>
            <w:tcW w:w="500" w:type="dxa"/>
            <w:tcBorders/>
            <w:vAlign w:val="center"/>
          </w:tcPr>
          <w:p>
            <w:pPr>
              <w:pStyle w:val="TableContents"/>
              <w:bidi w:val="0"/>
              <w:spacing w:before="0" w:after="283"/>
              <w:jc w:val="left"/>
              <w:rPr/>
            </w:pPr>
            <w:r>
              <w:rPr/>
              <w:t> </w:t>
            </w:r>
          </w:p>
        </w:tc>
        <w:tc>
          <w:tcPr>
            <w:tcW w:w="9705" w:type="dxa"/>
            <w:tcBorders/>
            <w:vAlign w:val="center"/>
          </w:tcPr>
          <w:p>
            <w:pPr>
              <w:pStyle w:val="TableContents"/>
              <w:bidi w:val="0"/>
              <w:spacing w:before="0" w:after="283"/>
              <w:jc w:val="both"/>
              <w:rPr/>
            </w:pPr>
            <w:r>
              <w:rPr/>
              <w:t> </w:t>
            </w:r>
          </w:p>
        </w:tc>
      </w:tr>
      <w:tr>
        <w:trPr/>
        <w:tc>
          <w:tcPr>
            <w:tcW w:w="500" w:type="dxa"/>
            <w:tcBorders/>
            <w:vAlign w:val="center"/>
          </w:tcPr>
          <w:p>
            <w:pPr>
              <w:pStyle w:val="TableContents"/>
              <w:bidi w:val="0"/>
              <w:spacing w:before="0" w:after="283"/>
              <w:jc w:val="left"/>
              <w:rPr/>
            </w:pPr>
            <w:hyperlink r:id="rId90">
              <w:r>
                <w:rPr>
                  <w:rStyle w:val="InternetLink"/>
                  <w:sz w:val="20"/>
                </w:rPr>
                <w:t>10.59</w:t>
              </w:r>
            </w:hyperlink>
          </w:p>
        </w:tc>
        <w:tc>
          <w:tcPr>
            <w:tcW w:w="9705" w:type="dxa"/>
            <w:tcBorders/>
            <w:vAlign w:val="center"/>
          </w:tcPr>
          <w:p>
            <w:pPr>
              <w:pStyle w:val="TableContents"/>
              <w:bidi w:val="0"/>
              <w:spacing w:before="0" w:after="283"/>
              <w:jc w:val="both"/>
              <w:rPr/>
            </w:pPr>
            <w:r>
              <w:rPr>
                <w:sz w:val="20"/>
                <w:shd w:fill="FFFFFF" w:val="clear"/>
              </w:rPr>
              <w:t xml:space="preserve">Second Admendment to Business Loan Agreement with Beachcorp, LLC, </w:t>
            </w:r>
            <w:r>
              <w:rPr>
                <w:sz w:val="20"/>
              </w:rPr>
              <w:t>incorporated by reference to Exhibit 10.4 to the Company’s Current Report on Form 8-K filed March 5, 2024, SEC File No. 000-22333.</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pPr>
            <w:hyperlink r:id="rId91">
              <w:r>
                <w:rPr>
                  <w:rStyle w:val="InternetLink"/>
                  <w:sz w:val="20"/>
                </w:rPr>
                <w:t>10.60</w:t>
              </w:r>
            </w:hyperlink>
          </w:p>
        </w:tc>
        <w:tc>
          <w:tcPr>
            <w:tcW w:w="9705" w:type="dxa"/>
            <w:tcBorders/>
            <w:vAlign w:val="center"/>
          </w:tcPr>
          <w:p>
            <w:pPr>
              <w:pStyle w:val="TableContents"/>
              <w:bidi w:val="0"/>
              <w:spacing w:before="0" w:after="283"/>
              <w:jc w:val="both"/>
              <w:rPr>
                <w:sz w:val="20"/>
              </w:rPr>
            </w:pPr>
            <w:r>
              <w:rPr>
                <w:sz w:val="20"/>
              </w:rPr>
              <w:t>Employment Agreement effective August 12, 2009 between the Company and Jess Jankowski, incorporated by reference to Exhibit 10.3 to the Company’s Quarterly Report on Form 10-Q for the quarter ended June 30, 2009, SEC File No. 000-22333.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pPr>
            <w:hyperlink r:id="rId92">
              <w:r>
                <w:rPr>
                  <w:rStyle w:val="InternetLink"/>
                  <w:sz w:val="20"/>
                </w:rPr>
                <w:t>10.61</w:t>
              </w:r>
            </w:hyperlink>
          </w:p>
        </w:tc>
        <w:tc>
          <w:tcPr>
            <w:tcW w:w="970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Employment Agreement dated November 28, 2012, between the Company and Kevin Cureton, incorporated by reference to Exhibit 10.36 to the Company’s Annual Report on Form 10-K for the year ended December 31, 2012, SEC File No. 000-22333. +</w:t>
            </w:r>
          </w:p>
          <w:p>
            <w:pPr>
              <w:pStyle w:val="TableContents"/>
              <w:bidi w:val="0"/>
              <w:spacing w:before="0" w:after="0"/>
              <w:ind w:left="0" w:right="0" w:hanging="0"/>
              <w:jc w:val="both"/>
              <w:rPr>
                <w:caps w:val="false"/>
                <w:smallCaps w:val="false"/>
              </w:rPr>
            </w:pP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pPr>
            <w:hyperlink r:id="rId93">
              <w:r>
                <w:rPr>
                  <w:rStyle w:val="InternetLink"/>
                  <w:sz w:val="20"/>
                </w:rPr>
                <w:t>10.62</w:t>
              </w:r>
            </w:hyperlink>
          </w:p>
        </w:tc>
        <w:tc>
          <w:tcPr>
            <w:tcW w:w="9705" w:type="dxa"/>
            <w:tcBorders/>
            <w:vAlign w:val="center"/>
          </w:tcPr>
          <w:p>
            <w:pPr>
              <w:pStyle w:val="TableContents"/>
              <w:bidi w:val="0"/>
              <w:spacing w:before="0" w:after="283"/>
              <w:jc w:val="both"/>
              <w:rPr>
                <w:sz w:val="20"/>
              </w:rPr>
            </w:pPr>
            <w:r>
              <w:rPr>
                <w:sz w:val="20"/>
              </w:rPr>
              <w:t>Nanophase Technologies Corporation 2004 Equity Compensation Plan (“2004 Equity Plan”), incorporated by reference to Exhibit 4 to the Company’s Registration Statement on Form S-8 (File No. 333-119466).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pPr>
            <w:hyperlink r:id="rId94">
              <w:r>
                <w:rPr>
                  <w:rStyle w:val="InternetLink"/>
                  <w:sz w:val="20"/>
                </w:rPr>
                <w:t>10.63</w:t>
              </w:r>
            </w:hyperlink>
          </w:p>
        </w:tc>
        <w:tc>
          <w:tcPr>
            <w:tcW w:w="9705" w:type="dxa"/>
            <w:tcBorders/>
            <w:vAlign w:val="center"/>
          </w:tcPr>
          <w:p>
            <w:pPr>
              <w:pStyle w:val="TableContents"/>
              <w:bidi w:val="0"/>
              <w:spacing w:before="0" w:after="283"/>
              <w:jc w:val="both"/>
              <w:rPr>
                <w:sz w:val="20"/>
              </w:rPr>
            </w:pPr>
            <w:r>
              <w:rPr>
                <w:sz w:val="20"/>
              </w:rPr>
              <w:t>2008 Long-Term Cash Incentive Plan, incorporated by reference to Exhibit 10.1 to the Company’s Current Report on Form 8-K filed July 25, 2008, SEC File No. 000-22333.+</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E-5 </w:t>
      </w:r>
    </w:p>
    <w:p>
      <w:pPr>
        <w:pStyle w:val="TextBody"/>
        <w:bidi w:val="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pPr>
            <w:hyperlink r:id="rId95">
              <w:r>
                <w:rPr>
                  <w:rStyle w:val="InternetLink"/>
                  <w:sz w:val="20"/>
                </w:rPr>
                <w:t>10.64</w:t>
              </w:r>
            </w:hyperlink>
          </w:p>
        </w:tc>
        <w:tc>
          <w:tcPr>
            <w:tcW w:w="9705" w:type="dxa"/>
            <w:tcBorders/>
            <w:vAlign w:val="center"/>
          </w:tcPr>
          <w:p>
            <w:pPr>
              <w:pStyle w:val="TableContents"/>
              <w:bidi w:val="0"/>
              <w:spacing w:before="0" w:after="283"/>
              <w:jc w:val="both"/>
              <w:rPr>
                <w:sz w:val="20"/>
              </w:rPr>
            </w:pPr>
            <w:r>
              <w:rPr>
                <w:sz w:val="20"/>
              </w:rPr>
              <w:t>Nanophase Technologies Corporation 2010 Equity Compensation Plan, as amended, incorporated by reference to Exhibit 10.1 to the Company’s Current Report on Form 8-K filed August 29, 2016.+</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pPr>
            <w:hyperlink r:id="rId96">
              <w:r>
                <w:rPr>
                  <w:rStyle w:val="InternetLink"/>
                  <w:sz w:val="20"/>
                </w:rPr>
                <w:t>10.65</w:t>
              </w:r>
            </w:hyperlink>
          </w:p>
        </w:tc>
        <w:tc>
          <w:tcPr>
            <w:tcW w:w="9705" w:type="dxa"/>
            <w:tcBorders/>
            <w:vAlign w:val="center"/>
          </w:tcPr>
          <w:p>
            <w:pPr>
              <w:pStyle w:val="TableContents"/>
              <w:bidi w:val="0"/>
              <w:spacing w:before="0" w:after="283"/>
              <w:jc w:val="both"/>
              <w:rPr>
                <w:sz w:val="20"/>
              </w:rPr>
            </w:pPr>
            <w:r>
              <w:rPr>
                <w:sz w:val="20"/>
              </w:rPr>
              <w:t>Form of Stock Option Award Agreement under the 2010 Equity Compensation Plan, incorporated by reference to Exhibit 10.47 to the Company’s Annual Report on Form 10-K for the year ended December 31, 2013.+</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pPr>
            <w:hyperlink r:id="rId97">
              <w:r>
                <w:rPr>
                  <w:rStyle w:val="InternetLink"/>
                  <w:sz w:val="20"/>
                </w:rPr>
                <w:t>10.66</w:t>
              </w:r>
            </w:hyperlink>
          </w:p>
        </w:tc>
        <w:tc>
          <w:tcPr>
            <w:tcW w:w="9705" w:type="dxa"/>
            <w:tcBorders/>
            <w:vAlign w:val="center"/>
          </w:tcPr>
          <w:p>
            <w:pPr>
              <w:pStyle w:val="TableContents"/>
              <w:bidi w:val="0"/>
              <w:spacing w:before="0" w:after="283"/>
              <w:jc w:val="both"/>
              <w:rPr>
                <w:sz w:val="20"/>
              </w:rPr>
            </w:pPr>
            <w:r>
              <w:rPr>
                <w:sz w:val="20"/>
              </w:rPr>
              <w:t>Nanophase Technologies Corporation 2019 Equity Compensation Plan, incorporated by reference to Exhibit 10.1 to the Company’s Current Report on Form 8-K filed November 22, 2019.+</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515"/>
        <w:gridCol w:w="9690"/>
      </w:tblGrid>
      <w:tr>
        <w:trPr/>
        <w:tc>
          <w:tcPr>
            <w:tcW w:w="515" w:type="dxa"/>
            <w:tcBorders/>
            <w:vAlign w:val="center"/>
          </w:tcPr>
          <w:p>
            <w:pPr>
              <w:pStyle w:val="TableContents"/>
              <w:bidi w:val="0"/>
              <w:spacing w:before="0" w:after="283"/>
              <w:jc w:val="left"/>
              <w:rPr/>
            </w:pPr>
            <w:hyperlink r:id="rId98">
              <w:r>
                <w:rPr>
                  <w:rStyle w:val="InternetLink"/>
                  <w:sz w:val="20"/>
                </w:rPr>
                <w:t>10.6</w:t>
              </w:r>
            </w:hyperlink>
            <w:hyperlink r:id="rId99">
              <w:r>
                <w:rPr>
                  <w:rStyle w:val="InternetLink"/>
                </w:rPr>
                <w:t>7</w:t>
              </w:r>
            </w:hyperlink>
          </w:p>
        </w:tc>
        <w:tc>
          <w:tcPr>
            <w:tcW w:w="9690" w:type="dxa"/>
            <w:tcBorders/>
            <w:vAlign w:val="center"/>
          </w:tcPr>
          <w:p>
            <w:pPr>
              <w:pStyle w:val="TableContents"/>
              <w:bidi w:val="0"/>
              <w:spacing w:before="0" w:after="283"/>
              <w:jc w:val="both"/>
              <w:rPr>
                <w:sz w:val="20"/>
              </w:rPr>
            </w:pPr>
            <w:r>
              <w:rPr>
                <w:sz w:val="20"/>
              </w:rPr>
              <w:t>Building Lease, dated as of September 15, 2010, between the Company and the Village of Burr Ridge, incorporated by reference to Exhibit 10.50 to the Company’s Annual Report on Form 10-K for the year ended December 31, 2016.</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pPr>
            <w:hyperlink r:id="rId100">
              <w:r>
                <w:rPr>
                  <w:rStyle w:val="InternetLink"/>
                  <w:sz w:val="20"/>
                </w:rPr>
                <w:t>10.68</w:t>
              </w:r>
            </w:hyperlink>
          </w:p>
        </w:tc>
        <w:tc>
          <w:tcPr>
            <w:tcW w:w="9705" w:type="dxa"/>
            <w:tcBorders/>
            <w:vAlign w:val="center"/>
          </w:tcPr>
          <w:p>
            <w:pPr>
              <w:pStyle w:val="TableContents"/>
              <w:bidi w:val="0"/>
              <w:spacing w:before="0" w:after="283"/>
              <w:jc w:val="both"/>
              <w:rPr>
                <w:sz w:val="20"/>
              </w:rPr>
            </w:pPr>
            <w:r>
              <w:rPr>
                <w:sz w:val="20"/>
              </w:rPr>
              <w:t>Building Lease, dated as of March 13, 2017, between the Company and the Village of Burr Ridge, incorporated by reference to Exhibit 10.51 to the Company’s Annual Report on Form 10-K for the year ended December 31, 2016.</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550"/>
        <w:gridCol w:w="9655"/>
      </w:tblGrid>
      <w:tr>
        <w:trPr/>
        <w:tc>
          <w:tcPr>
            <w:tcW w:w="550" w:type="dxa"/>
            <w:tcBorders/>
            <w:vAlign w:val="center"/>
          </w:tcPr>
          <w:p>
            <w:pPr>
              <w:pStyle w:val="TableContents"/>
              <w:bidi w:val="0"/>
              <w:spacing w:before="0" w:after="283"/>
              <w:jc w:val="left"/>
              <w:rPr/>
            </w:pPr>
            <w:hyperlink r:id="rId101">
              <w:r>
                <w:rPr>
                  <w:rStyle w:val="InternetLink"/>
                  <w:sz w:val="20"/>
                </w:rPr>
                <w:t>10.69*</w:t>
              </w:r>
            </w:hyperlink>
          </w:p>
        </w:tc>
        <w:tc>
          <w:tcPr>
            <w:tcW w:w="9655" w:type="dxa"/>
            <w:tcBorders/>
            <w:vAlign w:val="center"/>
          </w:tcPr>
          <w:p>
            <w:pPr>
              <w:pStyle w:val="TableContents"/>
              <w:bidi w:val="0"/>
              <w:spacing w:before="0" w:after="283"/>
              <w:jc w:val="both"/>
              <w:rPr>
                <w:sz w:val="20"/>
              </w:rPr>
            </w:pPr>
            <w:r>
              <w:rPr>
                <w:sz w:val="20"/>
              </w:rPr>
              <w:t>Know-How License Agreement, executed by the Company on June 26, 2017, between the Company and Eminess Technologies, Inc., incorporated by reference to Exhibit 10.1 of the Current Report on Form 8-K filed June 29, 2017.</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pPr>
            <w:hyperlink r:id="rId102">
              <w:r>
                <w:rPr>
                  <w:rStyle w:val="InternetLink"/>
                  <w:sz w:val="20"/>
                </w:rPr>
                <w:t>10.70</w:t>
              </w:r>
            </w:hyperlink>
          </w:p>
        </w:tc>
        <w:tc>
          <w:tcPr>
            <w:tcW w:w="9705" w:type="dxa"/>
            <w:tcBorders/>
            <w:vAlign w:val="center"/>
          </w:tcPr>
          <w:p>
            <w:pPr>
              <w:pStyle w:val="TableContents"/>
              <w:bidi w:val="0"/>
              <w:spacing w:before="0" w:after="283"/>
              <w:jc w:val="both"/>
              <w:rPr>
                <w:sz w:val="20"/>
              </w:rPr>
            </w:pPr>
            <w:r>
              <w:rPr>
                <w:sz w:val="20"/>
              </w:rPr>
              <w:t>Technology Development Agreement, executed by the Company on June 26, 2017, between the Company and Eminess Technologies, Inc., incorporated by reference to Exhibit 10.3 of the Current Report on Form 8-K filed June 29, 2017.</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560"/>
        <w:gridCol w:w="9645"/>
      </w:tblGrid>
      <w:tr>
        <w:trPr/>
        <w:tc>
          <w:tcPr>
            <w:tcW w:w="560" w:type="dxa"/>
            <w:tcBorders/>
            <w:vAlign w:val="center"/>
          </w:tcPr>
          <w:p>
            <w:pPr>
              <w:pStyle w:val="TableContents"/>
              <w:bidi w:val="0"/>
              <w:spacing w:before="0" w:after="283"/>
              <w:jc w:val="left"/>
              <w:rPr/>
            </w:pPr>
            <w:hyperlink r:id="rId103">
              <w:r>
                <w:rPr>
                  <w:rStyle w:val="InternetLink"/>
                  <w:sz w:val="20"/>
                </w:rPr>
                <w:t>10.71*</w:t>
              </w:r>
            </w:hyperlink>
          </w:p>
        </w:tc>
        <w:tc>
          <w:tcPr>
            <w:tcW w:w="9645" w:type="dxa"/>
            <w:tcBorders/>
            <w:vAlign w:val="center"/>
          </w:tcPr>
          <w:p>
            <w:pPr>
              <w:pStyle w:val="TableContents"/>
              <w:bidi w:val="0"/>
              <w:spacing w:before="0" w:after="283"/>
              <w:jc w:val="both"/>
              <w:rPr>
                <w:sz w:val="20"/>
              </w:rPr>
            </w:pPr>
            <w:r>
              <w:rPr>
                <w:sz w:val="20"/>
              </w:rPr>
              <w:t>Exclusive Supply Agreement, effective April 1, 2021, between Solésence, LLC and Ilia Beauty, Inc., incorporated by reference to Exhibit 10.1 of the Current Report on Form 8-K filed June 14, 2021.</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547"/>
        <w:gridCol w:w="9658"/>
      </w:tblGrid>
      <w:tr>
        <w:trPr/>
        <w:tc>
          <w:tcPr>
            <w:tcW w:w="547" w:type="dxa"/>
            <w:tcBorders/>
            <w:vAlign w:val="center"/>
          </w:tcPr>
          <w:p>
            <w:pPr>
              <w:pStyle w:val="TableContents"/>
              <w:bidi w:val="0"/>
              <w:spacing w:before="0" w:after="283"/>
              <w:jc w:val="left"/>
              <w:rPr/>
            </w:pPr>
            <w:hyperlink r:id="rId104">
              <w:r>
                <w:rPr>
                  <w:rStyle w:val="InternetLink"/>
                  <w:sz w:val="20"/>
                </w:rPr>
                <w:t>10.72*</w:t>
              </w:r>
            </w:hyperlink>
          </w:p>
        </w:tc>
        <w:tc>
          <w:tcPr>
            <w:tcW w:w="9658" w:type="dxa"/>
            <w:tcBorders/>
            <w:vAlign w:val="center"/>
          </w:tcPr>
          <w:p>
            <w:pPr>
              <w:pStyle w:val="TableContents"/>
              <w:bidi w:val="0"/>
              <w:spacing w:before="0" w:after="283"/>
              <w:jc w:val="both"/>
              <w:rPr>
                <w:sz w:val="20"/>
              </w:rPr>
            </w:pPr>
            <w:r>
              <w:rPr>
                <w:sz w:val="20"/>
              </w:rPr>
              <w:t>Lease, effective December 1, 2021, between the Company and FR JH 10, LLC, incorporated by reference to Exhibit 10.1 of the Company’s Current Report on Form 8-K filed December 9, 2021.</w:t>
            </w:r>
          </w:p>
        </w:tc>
      </w:tr>
      <w:tr>
        <w:trPr/>
        <w:tc>
          <w:tcPr>
            <w:tcW w:w="547" w:type="dxa"/>
            <w:tcBorders/>
            <w:vAlign w:val="center"/>
          </w:tcPr>
          <w:p>
            <w:pPr>
              <w:pStyle w:val="TableContents"/>
              <w:bidi w:val="0"/>
              <w:spacing w:before="0" w:after="283"/>
              <w:jc w:val="left"/>
              <w:rPr/>
            </w:pPr>
            <w:r>
              <w:rPr/>
              <w:t> </w:t>
            </w:r>
          </w:p>
        </w:tc>
        <w:tc>
          <w:tcPr>
            <w:tcW w:w="9658" w:type="dxa"/>
            <w:tcBorders/>
            <w:vAlign w:val="center"/>
          </w:tcPr>
          <w:p>
            <w:pPr>
              <w:pStyle w:val="TableContents"/>
              <w:bidi w:val="0"/>
              <w:spacing w:before="0" w:after="283"/>
              <w:jc w:val="both"/>
              <w:rPr/>
            </w:pPr>
            <w:r>
              <w:rPr/>
              <w:t> </w:t>
            </w:r>
          </w:p>
        </w:tc>
      </w:tr>
      <w:tr>
        <w:trPr/>
        <w:tc>
          <w:tcPr>
            <w:tcW w:w="547" w:type="dxa"/>
            <w:tcBorders/>
            <w:vAlign w:val="center"/>
          </w:tcPr>
          <w:p>
            <w:pPr>
              <w:pStyle w:val="TableContents"/>
              <w:bidi w:val="0"/>
              <w:spacing w:before="0" w:after="283"/>
              <w:jc w:val="left"/>
              <w:rPr/>
            </w:pPr>
            <w:hyperlink r:id="rId105">
              <w:r>
                <w:rPr>
                  <w:rStyle w:val="InternetLink"/>
                  <w:sz w:val="20"/>
                </w:rPr>
                <w:t>10.73</w:t>
              </w:r>
            </w:hyperlink>
          </w:p>
        </w:tc>
        <w:tc>
          <w:tcPr>
            <w:tcW w:w="9658" w:type="dxa"/>
            <w:tcBorders/>
            <w:vAlign w:val="center"/>
          </w:tcPr>
          <w:p>
            <w:pPr>
              <w:pStyle w:val="TableContents"/>
              <w:bidi w:val="0"/>
              <w:spacing w:before="0" w:after="283"/>
              <w:jc w:val="both"/>
              <w:rPr/>
            </w:pPr>
            <w:r>
              <w:rPr>
                <w:sz w:val="20"/>
                <w:shd w:fill="FFFFFF" w:val="clear"/>
              </w:rPr>
              <w:t xml:space="preserve">Third Amendment to Business Loan Agreement with Strandler, LLC, </w:t>
            </w:r>
            <w:r>
              <w:rPr>
                <w:sz w:val="20"/>
              </w:rPr>
              <w:t>incorporated by reference to Exhibit 10.1 to the Company’s Current Report on Form 8-K filed June 2, 2025, SEC File No. 001-42589.</w:t>
            </w:r>
          </w:p>
        </w:tc>
      </w:tr>
      <w:tr>
        <w:trPr/>
        <w:tc>
          <w:tcPr>
            <w:tcW w:w="547" w:type="dxa"/>
            <w:tcBorders/>
            <w:vAlign w:val="center"/>
          </w:tcPr>
          <w:p>
            <w:pPr>
              <w:pStyle w:val="TableContents"/>
              <w:bidi w:val="0"/>
              <w:spacing w:before="0" w:after="283"/>
              <w:jc w:val="left"/>
              <w:rPr/>
            </w:pPr>
            <w:r>
              <w:rPr/>
              <w:t> </w:t>
            </w:r>
          </w:p>
        </w:tc>
        <w:tc>
          <w:tcPr>
            <w:tcW w:w="9658" w:type="dxa"/>
            <w:tcBorders/>
            <w:vAlign w:val="center"/>
          </w:tcPr>
          <w:p>
            <w:pPr>
              <w:pStyle w:val="TableContents"/>
              <w:bidi w:val="0"/>
              <w:spacing w:before="0" w:after="283"/>
              <w:jc w:val="both"/>
              <w:rPr/>
            </w:pPr>
            <w:r>
              <w:rPr/>
              <w:t> </w:t>
            </w:r>
          </w:p>
        </w:tc>
      </w:tr>
      <w:tr>
        <w:trPr/>
        <w:tc>
          <w:tcPr>
            <w:tcW w:w="547" w:type="dxa"/>
            <w:tcBorders/>
            <w:vAlign w:val="center"/>
          </w:tcPr>
          <w:p>
            <w:pPr>
              <w:pStyle w:val="TableContents"/>
              <w:bidi w:val="0"/>
              <w:spacing w:before="0" w:after="283"/>
              <w:jc w:val="left"/>
              <w:rPr/>
            </w:pPr>
            <w:hyperlink r:id="rId106">
              <w:r>
                <w:rPr>
                  <w:rStyle w:val="InternetLink"/>
                  <w:sz w:val="20"/>
                </w:rPr>
                <w:t>10.74</w:t>
              </w:r>
            </w:hyperlink>
          </w:p>
        </w:tc>
        <w:tc>
          <w:tcPr>
            <w:tcW w:w="9658" w:type="dxa"/>
            <w:tcBorders/>
            <w:vAlign w:val="center"/>
          </w:tcPr>
          <w:p>
            <w:pPr>
              <w:pStyle w:val="TableContents"/>
              <w:bidi w:val="0"/>
              <w:spacing w:before="0" w:after="283"/>
              <w:jc w:val="both"/>
              <w:rPr/>
            </w:pPr>
            <w:r>
              <w:rPr>
                <w:sz w:val="20"/>
                <w:shd w:fill="FFFFFF" w:val="clear"/>
              </w:rPr>
              <w:t xml:space="preserve">Third Amendment to Amended and Restated Business Loan Agreement with Beachcorp, LLC, </w:t>
            </w:r>
            <w:r>
              <w:rPr>
                <w:sz w:val="20"/>
              </w:rPr>
              <w:t>incorporated by reference to Exhibit 10.2 to the Company’s Current Report on Form 8-K filed June 2, 2025, SEC File No. 001-42589.</w:t>
            </w:r>
          </w:p>
        </w:tc>
      </w:tr>
      <w:tr>
        <w:trPr/>
        <w:tc>
          <w:tcPr>
            <w:tcW w:w="547" w:type="dxa"/>
            <w:tcBorders/>
            <w:vAlign w:val="center"/>
          </w:tcPr>
          <w:p>
            <w:pPr>
              <w:pStyle w:val="TableContents"/>
              <w:bidi w:val="0"/>
              <w:spacing w:before="0" w:after="283"/>
              <w:jc w:val="left"/>
              <w:rPr/>
            </w:pPr>
            <w:r>
              <w:rPr/>
              <w:t> </w:t>
            </w:r>
          </w:p>
        </w:tc>
        <w:tc>
          <w:tcPr>
            <w:tcW w:w="9658" w:type="dxa"/>
            <w:tcBorders/>
            <w:vAlign w:val="center"/>
          </w:tcPr>
          <w:p>
            <w:pPr>
              <w:pStyle w:val="TableContents"/>
              <w:bidi w:val="0"/>
              <w:spacing w:before="0" w:after="283"/>
              <w:jc w:val="both"/>
              <w:rPr/>
            </w:pPr>
            <w:r>
              <w:rPr/>
              <w:t> </w:t>
            </w:r>
          </w:p>
        </w:tc>
      </w:tr>
      <w:tr>
        <w:trPr/>
        <w:tc>
          <w:tcPr>
            <w:tcW w:w="547" w:type="dxa"/>
            <w:tcBorders/>
            <w:vAlign w:val="center"/>
          </w:tcPr>
          <w:p>
            <w:pPr>
              <w:pStyle w:val="TableContents"/>
              <w:bidi w:val="0"/>
              <w:spacing w:before="0" w:after="283"/>
              <w:jc w:val="left"/>
              <w:rPr/>
            </w:pPr>
            <w:hyperlink r:id="rId107">
              <w:r>
                <w:rPr>
                  <w:rStyle w:val="InternetLink"/>
                  <w:sz w:val="20"/>
                </w:rPr>
                <w:t>10.75</w:t>
              </w:r>
            </w:hyperlink>
          </w:p>
        </w:tc>
        <w:tc>
          <w:tcPr>
            <w:tcW w:w="9658" w:type="dxa"/>
            <w:tcBorders/>
            <w:vAlign w:val="center"/>
          </w:tcPr>
          <w:p>
            <w:pPr>
              <w:pStyle w:val="TableContents"/>
              <w:bidi w:val="0"/>
              <w:spacing w:before="0" w:after="283"/>
              <w:jc w:val="both"/>
              <w:rPr/>
            </w:pPr>
            <w:r>
              <w:rPr>
                <w:sz w:val="20"/>
                <w:shd w:fill="FFFFFF" w:val="clear"/>
              </w:rPr>
              <w:t xml:space="preserve">Third Amendment to Business Loan Agreement with Beachcorp, LLC, </w:t>
            </w:r>
            <w:r>
              <w:rPr>
                <w:sz w:val="20"/>
              </w:rPr>
              <w:t>incorporated by reference to Exhibit 10.3 to the Company’s Current Report on Form 8-K filed June 2, 2025, SEC File No. 001-42589.</w:t>
            </w:r>
          </w:p>
        </w:tc>
      </w:tr>
      <w:tr>
        <w:trPr/>
        <w:tc>
          <w:tcPr>
            <w:tcW w:w="547" w:type="dxa"/>
            <w:tcBorders/>
            <w:vAlign w:val="center"/>
          </w:tcPr>
          <w:p>
            <w:pPr>
              <w:pStyle w:val="TableContents"/>
              <w:bidi w:val="0"/>
              <w:spacing w:before="0" w:after="283"/>
              <w:jc w:val="left"/>
              <w:rPr/>
            </w:pPr>
            <w:r>
              <w:rPr/>
              <w:t> </w:t>
            </w:r>
          </w:p>
        </w:tc>
        <w:tc>
          <w:tcPr>
            <w:tcW w:w="9658" w:type="dxa"/>
            <w:tcBorders/>
            <w:vAlign w:val="center"/>
          </w:tcPr>
          <w:p>
            <w:pPr>
              <w:pStyle w:val="TableContents"/>
              <w:bidi w:val="0"/>
              <w:spacing w:before="0" w:after="283"/>
              <w:jc w:val="both"/>
              <w:rPr/>
            </w:pPr>
            <w:r>
              <w:rPr/>
              <w:t> </w:t>
            </w:r>
          </w:p>
        </w:tc>
      </w:tr>
      <w:tr>
        <w:trPr/>
        <w:tc>
          <w:tcPr>
            <w:tcW w:w="547" w:type="dxa"/>
            <w:tcBorders/>
            <w:vAlign w:val="center"/>
          </w:tcPr>
          <w:p>
            <w:pPr>
              <w:pStyle w:val="TableContents"/>
              <w:bidi w:val="0"/>
              <w:spacing w:before="0" w:after="283"/>
              <w:jc w:val="left"/>
              <w:rPr/>
            </w:pPr>
            <w:hyperlink r:id="rId108">
              <w:r>
                <w:rPr>
                  <w:rStyle w:val="InternetLink"/>
                  <w:sz w:val="20"/>
                </w:rPr>
                <w:t>10.76</w:t>
              </w:r>
            </w:hyperlink>
          </w:p>
        </w:tc>
        <w:tc>
          <w:tcPr>
            <w:tcW w:w="9658"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Employment Agreement dated September 3, 2025, between the Company and Kevin Cureton, incorporated by reference to Exhibit 10.1 to the Company’s Current Report on Form 8-K filed September 3, 2025, SEC File No. 000-22333. +</w:t>
            </w:r>
          </w:p>
          <w:p>
            <w:pPr>
              <w:pStyle w:val="TableContents"/>
              <w:bidi w:val="0"/>
              <w:spacing w:before="0" w:after="0"/>
              <w:ind w:left="0" w:right="0" w:hanging="0"/>
              <w:jc w:val="both"/>
              <w:rPr>
                <w:caps w:val="false"/>
                <w:smallCaps w:val="false"/>
              </w:rPr>
            </w:pPr>
            <w:r>
              <w:rPr>
                <w:caps w:val="false"/>
                <w:smallCaps w:val="false"/>
              </w:rPr>
              <w:t> </w:t>
            </w:r>
          </w:p>
        </w:tc>
      </w:tr>
      <w:tr>
        <w:trPr/>
        <w:tc>
          <w:tcPr>
            <w:tcW w:w="547" w:type="dxa"/>
            <w:tcBorders/>
            <w:vAlign w:val="center"/>
          </w:tcPr>
          <w:p>
            <w:pPr>
              <w:pStyle w:val="TableContents"/>
              <w:bidi w:val="0"/>
              <w:spacing w:before="0" w:after="283"/>
              <w:jc w:val="left"/>
              <w:rPr/>
            </w:pPr>
            <w:hyperlink r:id="rId109">
              <w:r>
                <w:rPr>
                  <w:rStyle w:val="InternetLink"/>
                  <w:sz w:val="20"/>
                </w:rPr>
                <w:t>10.77</w:t>
              </w:r>
            </w:hyperlink>
          </w:p>
        </w:tc>
        <w:tc>
          <w:tcPr>
            <w:tcW w:w="9658"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Transition Employment Agreement dated September 3, 2025, between the Company and Jess Jankowski, incorporated by reference to Exhibit 10.2 to the Company’s Current Report on Form 8-K filed September 3, 2025, SEC File No. 000-22333. +</w:t>
            </w:r>
          </w:p>
          <w:p>
            <w:pPr>
              <w:pStyle w:val="TableContents"/>
              <w:bidi w:val="0"/>
              <w:spacing w:before="0" w:after="0"/>
              <w:ind w:left="0" w:right="0" w:hanging="0"/>
              <w:jc w:val="both"/>
              <w:rPr>
                <w:caps w:val="false"/>
                <w:smallCaps w:val="false"/>
              </w:rPr>
            </w:pPr>
            <w:r>
              <w:rPr>
                <w:caps w:val="false"/>
                <w:smallCaps w:val="false"/>
              </w:rPr>
              <w:t> </w:t>
            </w:r>
          </w:p>
        </w:tc>
      </w:tr>
      <w:tr>
        <w:trPr/>
        <w:tc>
          <w:tcPr>
            <w:tcW w:w="547" w:type="dxa"/>
            <w:tcBorders/>
            <w:vAlign w:val="center"/>
          </w:tcPr>
          <w:p>
            <w:pPr>
              <w:pStyle w:val="TableContents"/>
              <w:bidi w:val="0"/>
              <w:spacing w:before="0" w:after="283"/>
              <w:jc w:val="left"/>
              <w:rPr/>
            </w:pPr>
            <w:hyperlink r:id="rId110">
              <w:r>
                <w:rPr>
                  <w:rStyle w:val="InternetLink"/>
                  <w:sz w:val="20"/>
                </w:rPr>
                <w:t>10.78</w:t>
              </w:r>
            </w:hyperlink>
          </w:p>
        </w:tc>
        <w:tc>
          <w:tcPr>
            <w:tcW w:w="9658" w:type="dxa"/>
            <w:tcBorders/>
            <w:vAlign w:val="center"/>
          </w:tcPr>
          <w:p>
            <w:pPr>
              <w:pStyle w:val="TableContents"/>
              <w:bidi w:val="0"/>
              <w:spacing w:before="0" w:after="283"/>
              <w:jc w:val="both"/>
              <w:rPr>
                <w:sz w:val="20"/>
              </w:rPr>
            </w:pPr>
            <w:r>
              <w:rPr>
                <w:sz w:val="20"/>
              </w:rPr>
              <w:t>Employment Agreement dated September 3, 2025, between the Company and Laura Riffner, incorporated by reference to Exhibit 10.3 to the Company’s Current Report on Form 8-K filed September 3, 2025, SEC File No. 000-22333. +</w:t>
            </w:r>
          </w:p>
        </w:tc>
      </w:tr>
      <w:tr>
        <w:trPr/>
        <w:tc>
          <w:tcPr>
            <w:tcW w:w="547" w:type="dxa"/>
            <w:tcBorders/>
            <w:vAlign w:val="center"/>
          </w:tcPr>
          <w:p>
            <w:pPr>
              <w:pStyle w:val="TableContents"/>
              <w:bidi w:val="0"/>
              <w:spacing w:before="0" w:after="283"/>
              <w:jc w:val="left"/>
              <w:rPr/>
            </w:pPr>
            <w:r>
              <w:rPr/>
              <w:t> </w:t>
            </w:r>
          </w:p>
        </w:tc>
        <w:tc>
          <w:tcPr>
            <w:tcW w:w="9658" w:type="dxa"/>
            <w:tcBorders/>
            <w:vAlign w:val="center"/>
          </w:tcPr>
          <w:p>
            <w:pPr>
              <w:pStyle w:val="TableContents"/>
              <w:bidi w:val="0"/>
              <w:spacing w:before="0" w:after="283"/>
              <w:jc w:val="both"/>
              <w:rPr/>
            </w:pPr>
            <w:r>
              <w:rPr/>
              <w:t> </w:t>
            </w:r>
          </w:p>
        </w:tc>
      </w:tr>
      <w:tr>
        <w:trPr/>
        <w:tc>
          <w:tcPr>
            <w:tcW w:w="547" w:type="dxa"/>
            <w:tcBorders/>
            <w:vAlign w:val="center"/>
          </w:tcPr>
          <w:p>
            <w:pPr>
              <w:pStyle w:val="TableContents"/>
              <w:bidi w:val="0"/>
              <w:spacing w:before="0" w:after="283"/>
              <w:jc w:val="left"/>
              <w:rPr/>
            </w:pPr>
            <w:hyperlink r:id="rId111">
              <w:r>
                <w:rPr>
                  <w:rStyle w:val="InternetLink"/>
                  <w:sz w:val="20"/>
                </w:rPr>
                <w:t>10.79</w:t>
              </w:r>
            </w:hyperlink>
          </w:p>
        </w:tc>
        <w:tc>
          <w:tcPr>
            <w:tcW w:w="9658" w:type="dxa"/>
            <w:tcBorders/>
            <w:vAlign w:val="center"/>
          </w:tcPr>
          <w:p>
            <w:pPr>
              <w:pStyle w:val="TableContents"/>
              <w:bidi w:val="0"/>
              <w:spacing w:before="0" w:after="283"/>
              <w:jc w:val="both"/>
              <w:rPr>
                <w:sz w:val="20"/>
              </w:rPr>
            </w:pPr>
            <w:r>
              <w:rPr>
                <w:sz w:val="20"/>
              </w:rPr>
              <w:t>Solésence 2025 Equity Compensation Plan, incorporated by reference to Exhibit A to the Company’s Definitive Proxy Statement filed July 30, 2025. +</w:t>
            </w:r>
          </w:p>
        </w:tc>
      </w:tr>
    </w:tbl>
    <w:p>
      <w:pPr>
        <w:pStyle w:val="TextBody"/>
        <w:bidi w:val="0"/>
        <w:spacing w:before="0" w:after="283"/>
        <w:jc w:val="left"/>
        <w:rPr/>
      </w:pPr>
      <w:r>
        <w:rPr/>
        <w:t> </w:t>
      </w:r>
    </w:p>
    <w:tbl>
      <w:tblPr>
        <w:tblW w:w="3790" w:type="dxa"/>
        <w:jc w:val="left"/>
        <w:tblInd w:w="0" w:type="dxa"/>
        <w:tblLayout w:type="fixed"/>
        <w:tblCellMar>
          <w:top w:w="0" w:type="dxa"/>
          <w:left w:w="0" w:type="dxa"/>
          <w:bottom w:w="0" w:type="dxa"/>
          <w:right w:w="0" w:type="dxa"/>
        </w:tblCellMar>
      </w:tblPr>
      <w:tblGrid>
        <w:gridCol w:w="395"/>
        <w:gridCol w:w="3395"/>
      </w:tblGrid>
      <w:tr>
        <w:trPr/>
        <w:tc>
          <w:tcPr>
            <w:tcW w:w="395" w:type="dxa"/>
            <w:tcBorders/>
            <w:vAlign w:val="center"/>
          </w:tcPr>
          <w:p>
            <w:pPr>
              <w:pStyle w:val="TableContents"/>
              <w:bidi w:val="0"/>
              <w:spacing w:before="0" w:after="283"/>
              <w:jc w:val="left"/>
              <w:rPr/>
            </w:pPr>
            <w:hyperlink r:id="rId112">
              <w:r>
                <w:rPr>
                  <w:rStyle w:val="InternetLink"/>
                  <w:sz w:val="20"/>
                </w:rPr>
                <w:t>19</w:t>
              </w:r>
            </w:hyperlink>
          </w:p>
        </w:tc>
        <w:tc>
          <w:tcPr>
            <w:tcW w:w="3395" w:type="dxa"/>
            <w:tcBorders/>
            <w:vAlign w:val="center"/>
          </w:tcPr>
          <w:p>
            <w:pPr>
              <w:pStyle w:val="TableContents"/>
              <w:bidi w:val="0"/>
              <w:spacing w:before="0" w:after="283"/>
              <w:jc w:val="both"/>
              <w:rPr>
                <w:sz w:val="20"/>
              </w:rPr>
            </w:pPr>
            <w:r>
              <w:rPr>
                <w:sz w:val="20"/>
              </w:rPr>
              <w:t>Solésence Insider Trading Policy</w:t>
            </w:r>
          </w:p>
        </w:tc>
      </w:tr>
      <w:tr>
        <w:trPr/>
        <w:tc>
          <w:tcPr>
            <w:tcW w:w="395" w:type="dxa"/>
            <w:tcBorders/>
            <w:vAlign w:val="center"/>
          </w:tcPr>
          <w:p>
            <w:pPr>
              <w:pStyle w:val="TableContents"/>
              <w:bidi w:val="0"/>
              <w:spacing w:before="0" w:after="283"/>
              <w:jc w:val="left"/>
              <w:rPr/>
            </w:pPr>
            <w:r>
              <w:rPr/>
              <w:t> </w:t>
            </w:r>
          </w:p>
        </w:tc>
        <w:tc>
          <w:tcPr>
            <w:tcW w:w="3395" w:type="dxa"/>
            <w:tcBorders/>
            <w:vAlign w:val="center"/>
          </w:tcPr>
          <w:p>
            <w:pPr>
              <w:pStyle w:val="TableContents"/>
              <w:bidi w:val="0"/>
              <w:spacing w:before="0" w:after="283"/>
              <w:jc w:val="both"/>
              <w:rPr/>
            </w:pPr>
            <w:r>
              <w:rPr/>
              <w:t> </w:t>
            </w:r>
          </w:p>
        </w:tc>
      </w:tr>
      <w:tr>
        <w:trPr/>
        <w:tc>
          <w:tcPr>
            <w:tcW w:w="395" w:type="dxa"/>
            <w:tcBorders/>
            <w:vAlign w:val="center"/>
          </w:tcPr>
          <w:p>
            <w:pPr>
              <w:pStyle w:val="TableContents"/>
              <w:bidi w:val="0"/>
              <w:spacing w:before="0" w:after="283"/>
              <w:jc w:val="left"/>
              <w:rPr/>
            </w:pPr>
            <w:hyperlink w:anchor="ex21-1.htm">
              <w:r>
                <w:rPr>
                  <w:rStyle w:val="InternetLink"/>
                  <w:sz w:val="20"/>
                </w:rPr>
                <w:t>21.1</w:t>
              </w:r>
            </w:hyperlink>
          </w:p>
        </w:tc>
        <w:tc>
          <w:tcPr>
            <w:tcW w:w="339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Subsidiary of the Company</w:t>
            </w:r>
          </w:p>
          <w:p>
            <w:pPr>
              <w:pStyle w:val="TableContents"/>
              <w:bidi w:val="0"/>
              <w:spacing w:before="0" w:after="0"/>
              <w:ind w:left="0" w:right="0" w:hanging="0"/>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left"/>
              <w:rPr/>
            </w:pPr>
            <w:hyperlink w:anchor="ex23-1.htm">
              <w:r>
                <w:rPr>
                  <w:rStyle w:val="InternetLink"/>
                  <w:sz w:val="20"/>
                </w:rPr>
                <w:t>23.1</w:t>
              </w:r>
            </w:hyperlink>
          </w:p>
        </w:tc>
        <w:tc>
          <w:tcPr>
            <w:tcW w:w="3395" w:type="dxa"/>
            <w:tcBorders/>
            <w:vAlign w:val="center"/>
          </w:tcPr>
          <w:p>
            <w:pPr>
              <w:pStyle w:val="TableContents"/>
              <w:bidi w:val="0"/>
              <w:spacing w:before="0" w:after="283"/>
              <w:jc w:val="both"/>
              <w:rPr>
                <w:sz w:val="20"/>
              </w:rPr>
            </w:pPr>
            <w:r>
              <w:rPr>
                <w:sz w:val="20"/>
              </w:rPr>
              <w:t>Consent of RSM US LLP. (filed herewith)</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pPr>
            <w:hyperlink w:anchor="ex31-1.htm">
              <w:r>
                <w:rPr>
                  <w:rStyle w:val="InternetLink"/>
                  <w:sz w:val="20"/>
                </w:rPr>
                <w:t>31.1</w:t>
              </w:r>
            </w:hyperlink>
          </w:p>
        </w:tc>
        <w:tc>
          <w:tcPr>
            <w:tcW w:w="9810" w:type="dxa"/>
            <w:tcBorders/>
            <w:vAlign w:val="center"/>
          </w:tcPr>
          <w:p>
            <w:pPr>
              <w:pStyle w:val="TableContents"/>
              <w:bidi w:val="0"/>
              <w:spacing w:before="0" w:after="283"/>
              <w:jc w:val="both"/>
              <w:rPr>
                <w:sz w:val="20"/>
              </w:rPr>
            </w:pPr>
            <w:r>
              <w:rPr>
                <w:sz w:val="20"/>
              </w:rPr>
              <w:t>Certification of the Chief Executive Officer (principal executive officer) pursuant to Rules 13a-14(a) and 15d-14(a) under the Exchange Act. (filed herewith)</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pPr>
            <w:hyperlink w:anchor="ex31-2.htm">
              <w:r>
                <w:rPr>
                  <w:rStyle w:val="InternetLink"/>
                  <w:sz w:val="20"/>
                </w:rPr>
                <w:t>31.2</w:t>
              </w:r>
            </w:hyperlink>
          </w:p>
        </w:tc>
        <w:tc>
          <w:tcPr>
            <w:tcW w:w="9810" w:type="dxa"/>
            <w:tcBorders/>
            <w:vAlign w:val="center"/>
          </w:tcPr>
          <w:p>
            <w:pPr>
              <w:pStyle w:val="TableContents"/>
              <w:bidi w:val="0"/>
              <w:spacing w:before="0" w:after="283"/>
              <w:jc w:val="both"/>
              <w:rPr>
                <w:sz w:val="20"/>
              </w:rPr>
            </w:pPr>
            <w:r>
              <w:rPr>
                <w:sz w:val="20"/>
              </w:rPr>
              <w:t>Certification of the Chief Financial Officer (principal financial officer) pursuant to Rules 13a-14(a) and 15d-14(a) under the Exchange Act. (filed herewith)</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E-6 </w:t>
      </w:r>
    </w:p>
    <w:p>
      <w:pPr>
        <w:pStyle w:val="TextBody"/>
        <w:bidi w:val="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hyperlink w:anchor="ex32.htm">
              <w:r>
                <w:rPr>
                  <w:rStyle w:val="InternetLink"/>
                  <w:sz w:val="20"/>
                </w:rPr>
                <w:t>32</w:t>
              </w:r>
            </w:hyperlink>
          </w:p>
        </w:tc>
        <w:tc>
          <w:tcPr>
            <w:tcW w:w="9960" w:type="dxa"/>
            <w:tcBorders/>
            <w:vAlign w:val="center"/>
          </w:tcPr>
          <w:p>
            <w:pPr>
              <w:pStyle w:val="TableContents"/>
              <w:bidi w:val="0"/>
              <w:spacing w:before="0" w:after="283"/>
              <w:jc w:val="both"/>
              <w:rPr>
                <w:sz w:val="20"/>
              </w:rPr>
            </w:pPr>
            <w:r>
              <w:rPr>
                <w:sz w:val="20"/>
              </w:rPr>
              <w:t>Certification of the Chief Executive Officer (principal executive officer) and Chief Financial Officer (principal financial officer) pursuant to 18 U.S.C. Section 1350. (filed herewith)</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50"/>
        <w:gridCol w:w="9855"/>
      </w:tblGrid>
      <w:tr>
        <w:trPr/>
        <w:tc>
          <w:tcPr>
            <w:tcW w:w="350" w:type="dxa"/>
            <w:tcBorders/>
            <w:vAlign w:val="center"/>
          </w:tcPr>
          <w:p>
            <w:pPr>
              <w:pStyle w:val="TableContents"/>
              <w:bidi w:val="0"/>
              <w:spacing w:before="0" w:after="283"/>
              <w:jc w:val="left"/>
              <w:rPr>
                <w:sz w:val="20"/>
              </w:rPr>
            </w:pPr>
            <w:r>
              <w:rPr>
                <w:sz w:val="20"/>
              </w:rPr>
              <w:t>101</w:t>
            </w:r>
          </w:p>
        </w:tc>
        <w:tc>
          <w:tcPr>
            <w:tcW w:w="9855" w:type="dxa"/>
            <w:tcBorders/>
            <w:vAlign w:val="center"/>
          </w:tcPr>
          <w:p>
            <w:pPr>
              <w:pStyle w:val="TableContents"/>
              <w:bidi w:val="0"/>
              <w:spacing w:before="0" w:after="283"/>
              <w:jc w:val="both"/>
              <w:rPr>
                <w:sz w:val="20"/>
              </w:rPr>
            </w:pPr>
            <w:r>
              <w:rPr>
                <w:sz w:val="20"/>
              </w:rPr>
              <w:t>The following materials from the Company’s Annual Report on Form 10-K for the year ended December 31, 2025, formatted in XBRL (Extensible Business Reporting Language): (1) the Balance Sheets, (2) the Statements of Operations, (3) the Statements of Cash Flows, (4) the Statements of Stockholders’ Equity, and (5) the Notes to the Financial Statements.</w:t>
            </w:r>
          </w:p>
        </w:tc>
      </w:tr>
    </w:tbl>
    <w:p>
      <w:pPr>
        <w:pStyle w:val="TextBody"/>
        <w:bidi w:val="0"/>
        <w:spacing w:before="0" w:after="283"/>
        <w:jc w:val="left"/>
        <w:rPr/>
      </w:pPr>
      <w:r>
        <w:rPr/>
        <w:t> </w:t>
      </w:r>
    </w:p>
    <w:tbl>
      <w:tblPr>
        <w:tblW w:w="5485" w:type="dxa"/>
        <w:jc w:val="left"/>
        <w:tblInd w:w="0" w:type="dxa"/>
        <w:tblLayout w:type="fixed"/>
        <w:tblCellMar>
          <w:top w:w="0" w:type="dxa"/>
          <w:left w:w="0" w:type="dxa"/>
          <w:bottom w:w="0" w:type="dxa"/>
          <w:right w:w="0" w:type="dxa"/>
        </w:tblCellMar>
      </w:tblPr>
      <w:tblGrid>
        <w:gridCol w:w="140"/>
        <w:gridCol w:w="5345"/>
      </w:tblGrid>
      <w:tr>
        <w:trPr/>
        <w:tc>
          <w:tcPr>
            <w:tcW w:w="140" w:type="dxa"/>
            <w:tcBorders/>
            <w:vAlign w:val="center"/>
          </w:tcPr>
          <w:p>
            <w:pPr>
              <w:pStyle w:val="TableContents"/>
              <w:bidi w:val="0"/>
              <w:spacing w:before="0" w:after="283"/>
              <w:jc w:val="left"/>
              <w:rPr>
                <w:sz w:val="20"/>
              </w:rPr>
            </w:pPr>
            <w:r>
              <w:rPr>
                <w:sz w:val="20"/>
              </w:rPr>
              <w:t>*</w:t>
            </w:r>
          </w:p>
        </w:tc>
        <w:tc>
          <w:tcPr>
            <w:tcW w:w="5345" w:type="dxa"/>
            <w:tcBorders/>
            <w:vAlign w:val="center"/>
          </w:tcPr>
          <w:p>
            <w:pPr>
              <w:pStyle w:val="TableContents"/>
              <w:bidi w:val="0"/>
              <w:spacing w:before="0" w:after="283"/>
              <w:jc w:val="both"/>
              <w:rPr>
                <w:sz w:val="20"/>
              </w:rPr>
            </w:pPr>
            <w:r>
              <w:rPr>
                <w:sz w:val="20"/>
              </w:rPr>
              <w:t>Confidentiality previously granted for portions of this agreement.</w:t>
            </w:r>
          </w:p>
        </w:tc>
      </w:tr>
    </w:tbl>
    <w:p>
      <w:pPr>
        <w:pStyle w:val="TextBody"/>
        <w:bidi w:val="0"/>
        <w:spacing w:before="0" w:after="283"/>
        <w:jc w:val="left"/>
        <w:rPr/>
      </w:pPr>
      <w:r>
        <w:rPr/>
        <w:t> </w:t>
      </w:r>
    </w:p>
    <w:tbl>
      <w:tblPr>
        <w:tblW w:w="6025" w:type="dxa"/>
        <w:jc w:val="left"/>
        <w:tblInd w:w="0" w:type="dxa"/>
        <w:tblLayout w:type="fixed"/>
        <w:tblCellMar>
          <w:top w:w="0" w:type="dxa"/>
          <w:left w:w="0" w:type="dxa"/>
          <w:bottom w:w="0" w:type="dxa"/>
          <w:right w:w="0" w:type="dxa"/>
        </w:tblCellMar>
      </w:tblPr>
      <w:tblGrid>
        <w:gridCol w:w="140"/>
        <w:gridCol w:w="5885"/>
      </w:tblGrid>
      <w:tr>
        <w:trPr/>
        <w:tc>
          <w:tcPr>
            <w:tcW w:w="140" w:type="dxa"/>
            <w:tcBorders/>
            <w:vAlign w:val="center"/>
          </w:tcPr>
          <w:p>
            <w:pPr>
              <w:pStyle w:val="TableContents"/>
              <w:bidi w:val="0"/>
              <w:spacing w:before="0" w:after="283"/>
              <w:jc w:val="left"/>
              <w:rPr>
                <w:sz w:val="20"/>
              </w:rPr>
            </w:pPr>
            <w:r>
              <w:rPr>
                <w:sz w:val="20"/>
              </w:rPr>
              <w:t>+</w:t>
            </w:r>
          </w:p>
        </w:tc>
        <w:tc>
          <w:tcPr>
            <w:tcW w:w="5885" w:type="dxa"/>
            <w:tcBorders/>
            <w:vAlign w:val="center"/>
          </w:tcPr>
          <w:p>
            <w:pPr>
              <w:pStyle w:val="TableContents"/>
              <w:bidi w:val="0"/>
              <w:spacing w:before="0" w:after="283"/>
              <w:jc w:val="both"/>
              <w:rPr>
                <w:sz w:val="20"/>
              </w:rPr>
            </w:pPr>
            <w:r>
              <w:rPr>
                <w:sz w:val="20"/>
              </w:rPr>
              <w:t>Indicates management contracts or compensatory plans or arrangements.</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E-7 </w:t>
      </w:r>
    </w:p>
    <w:p>
      <w:pPr>
        <w:pStyle w:val="TextBody"/>
        <w:bidi w:val="0"/>
        <w:spacing w:before="0" w:after="0"/>
        <w:ind w:left="5" w:right="5"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5" w:right="5"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Section 13 or 15(d) of the Securities Exchange Act of 1934, the Registrant has duly caused this report to be signed on its behalf by the undersigned, thereunto duly authorized, on the 31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xml:space="preserve"> day of March, 2026.</w:t>
      </w:r>
    </w:p>
    <w:p>
      <w:pPr>
        <w:pStyle w:val="TextBody"/>
        <w:bidi w:val="0"/>
        <w:spacing w:before="0" w:after="0"/>
        <w:ind w:left="0" w:right="0" w:firstLine="720"/>
        <w:jc w:val="both"/>
        <w:rPr>
          <w:caps w:val="false"/>
          <w:smallCaps w:val="false"/>
        </w:rPr>
      </w:pPr>
      <w:r>
        <w:rPr>
          <w:caps w:val="false"/>
          <w:smallCaps w:val="false"/>
        </w:rPr>
        <w:t> </w:t>
      </w:r>
    </w:p>
    <w:tbl>
      <w:tblPr>
        <w:tblW w:w="3550" w:type="dxa"/>
        <w:jc w:val="left"/>
        <w:tblInd w:w="0" w:type="dxa"/>
        <w:tblLayout w:type="fixed"/>
        <w:tblCellMar>
          <w:top w:w="0" w:type="dxa"/>
          <w:left w:w="0" w:type="dxa"/>
          <w:bottom w:w="0" w:type="dxa"/>
          <w:right w:w="0" w:type="dxa"/>
        </w:tblCellMar>
      </w:tblPr>
      <w:tblGrid>
        <w:gridCol w:w="75"/>
        <w:gridCol w:w="60"/>
        <w:gridCol w:w="320"/>
        <w:gridCol w:w="3095"/>
      </w:tblGrid>
      <w:tr>
        <w:trPr/>
        <w:tc>
          <w:tcPr>
            <w:tcW w:w="75" w:type="dxa"/>
            <w:tcBorders/>
            <w:vAlign w:val="center"/>
          </w:tcPr>
          <w:p>
            <w:pPr>
              <w:pStyle w:val="TableContents"/>
              <w:bidi w:val="0"/>
              <w:spacing w:before="0" w:after="283"/>
              <w:jc w:val="left"/>
              <w:rPr/>
            </w:pPr>
            <w:r>
              <w:rPr/>
              <w:t> </w:t>
            </w:r>
          </w:p>
        </w:tc>
        <w:tc>
          <w:tcPr>
            <w:tcW w:w="3475" w:type="dxa"/>
            <w:gridSpan w:val="3"/>
            <w:tcBorders/>
            <w:vAlign w:val="center"/>
          </w:tcPr>
          <w:p>
            <w:pPr>
              <w:pStyle w:val="TableContents"/>
              <w:bidi w:val="0"/>
              <w:spacing w:before="0" w:after="283"/>
              <w:jc w:val="left"/>
              <w:rPr>
                <w:b/>
                <w:sz w:val="20"/>
              </w:rPr>
            </w:pPr>
            <w:r>
              <w:rPr>
                <w:b/>
                <w:sz w:val="20"/>
              </w:rPr>
              <w:t>SOLÉSENCE, INC.</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3095" w:type="dxa"/>
            <w:tcBorders>
              <w:bottom w:val="single" w:sz="8" w:space="0" w:color="000000"/>
            </w:tcBorders>
            <w:tcMar>
              <w:bottom w:w="28" w:type="dxa"/>
            </w:tcMar>
            <w:vAlign w:val="center"/>
          </w:tcPr>
          <w:p>
            <w:pPr>
              <w:pStyle w:val="TableContents"/>
              <w:bidi w:val="0"/>
              <w:spacing w:before="0" w:after="283"/>
              <w:jc w:val="left"/>
              <w:rPr>
                <w:sz w:val="20"/>
              </w:rPr>
            </w:pPr>
            <w:r>
              <w:rPr>
                <w:sz w:val="20"/>
              </w:rPr>
              <w:t>/s/ Kevin Cureton</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left"/>
              <w:rPr>
                <w:sz w:val="20"/>
              </w:rPr>
            </w:pPr>
            <w:r>
              <w:rPr>
                <w:sz w:val="20"/>
              </w:rPr>
              <w:t>Kevin Cureton</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left"/>
              <w:rPr>
                <w:sz w:val="20"/>
              </w:rPr>
            </w:pPr>
            <w:r>
              <w:rPr>
                <w:sz w:val="20"/>
              </w:rPr>
              <w:t>President and Chief Executive Officer</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this Report has been signed below by the following persons on behalf of the registrant and in the capacities indicated on the 31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xml:space="preserve"> day of March, 2026.</w:t>
      </w:r>
    </w:p>
    <w:p>
      <w:pPr>
        <w:pStyle w:val="TextBody"/>
        <w:bidi w:val="0"/>
        <w:spacing w:before="0" w:after="0"/>
        <w:ind w:left="0" w:right="0" w:firstLine="720"/>
        <w:jc w:val="both"/>
        <w:rPr>
          <w:caps w:val="false"/>
          <w:smallCaps w:val="false"/>
        </w:rPr>
      </w:pPr>
      <w:r>
        <w:rPr>
          <w:caps w:val="false"/>
          <w:smallCaps w:val="false"/>
        </w:rPr>
        <w:t> </w:t>
      </w:r>
    </w:p>
    <w:tbl>
      <w:tblPr>
        <w:tblW w:w="7990" w:type="dxa"/>
        <w:jc w:val="left"/>
        <w:tblInd w:w="0" w:type="dxa"/>
        <w:tblLayout w:type="fixed"/>
        <w:tblCellMar>
          <w:top w:w="0" w:type="dxa"/>
          <w:left w:w="0" w:type="dxa"/>
          <w:bottom w:w="28" w:type="dxa"/>
          <w:right w:w="0" w:type="dxa"/>
        </w:tblCellMar>
      </w:tblPr>
      <w:tblGrid>
        <w:gridCol w:w="1775"/>
        <w:gridCol w:w="60"/>
        <w:gridCol w:w="6155"/>
      </w:tblGrid>
      <w:tr>
        <w:trPr/>
        <w:tc>
          <w:tcPr>
            <w:tcW w:w="1775" w:type="dxa"/>
            <w:tcBorders>
              <w:bottom w:val="single" w:sz="8" w:space="0" w:color="000000"/>
            </w:tcBorders>
            <w:vAlign w:val="center"/>
          </w:tcPr>
          <w:p>
            <w:pPr>
              <w:pStyle w:val="TableContents"/>
              <w:bidi w:val="0"/>
              <w:spacing w:before="0" w:after="283"/>
              <w:jc w:val="center"/>
              <w:rPr>
                <w:b/>
                <w:sz w:val="20"/>
              </w:rPr>
            </w:pPr>
            <w:r>
              <w:rPr>
                <w:b/>
                <w:sz w:val="20"/>
              </w:rPr>
              <w:t>Signature</w:t>
            </w:r>
          </w:p>
        </w:tc>
        <w:tc>
          <w:tcPr>
            <w:tcW w:w="60" w:type="dxa"/>
            <w:tcBorders/>
            <w:tcMar>
              <w:bottom w:w="0" w:type="dxa"/>
            </w:tcMar>
            <w:vAlign w:val="center"/>
          </w:tcPr>
          <w:p>
            <w:pPr>
              <w:pStyle w:val="TableContents"/>
              <w:bidi w:val="0"/>
              <w:spacing w:before="0" w:after="283"/>
              <w:jc w:val="center"/>
              <w:rPr/>
            </w:pPr>
            <w:r>
              <w:rPr/>
              <w:t> </w:t>
            </w:r>
          </w:p>
        </w:tc>
        <w:tc>
          <w:tcPr>
            <w:tcW w:w="6155" w:type="dxa"/>
            <w:tcBorders>
              <w:bottom w:val="single" w:sz="8" w:space="0" w:color="000000"/>
            </w:tcBorders>
            <w:vAlign w:val="center"/>
          </w:tcPr>
          <w:p>
            <w:pPr>
              <w:pStyle w:val="TableContents"/>
              <w:bidi w:val="0"/>
              <w:spacing w:before="0" w:after="283"/>
              <w:jc w:val="center"/>
              <w:rPr>
                <w:b/>
                <w:sz w:val="20"/>
              </w:rPr>
            </w:pPr>
            <w:r>
              <w:rPr>
                <w:b/>
                <w:sz w:val="20"/>
              </w:rPr>
              <w:t>Title</w:t>
            </w:r>
          </w:p>
        </w:tc>
      </w:tr>
      <w:tr>
        <w:trPr/>
        <w:tc>
          <w:tcPr>
            <w:tcW w:w="177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6155" w:type="dxa"/>
            <w:tcBorders/>
            <w:tcMar>
              <w:bottom w:w="0" w:type="dxa"/>
            </w:tcMar>
            <w:vAlign w:val="center"/>
          </w:tcPr>
          <w:p>
            <w:pPr>
              <w:pStyle w:val="TableContents"/>
              <w:bidi w:val="0"/>
              <w:spacing w:before="0" w:after="283"/>
              <w:jc w:val="left"/>
              <w:rPr/>
            </w:pPr>
            <w:r>
              <w:rPr/>
              <w:t> </w:t>
            </w:r>
          </w:p>
        </w:tc>
      </w:tr>
      <w:tr>
        <w:trPr/>
        <w:tc>
          <w:tcPr>
            <w:tcW w:w="1775" w:type="dxa"/>
            <w:tcBorders>
              <w:bottom w:val="single" w:sz="8" w:space="0" w:color="000000"/>
            </w:tcBorders>
            <w:vAlign w:val="center"/>
          </w:tcPr>
          <w:p>
            <w:pPr>
              <w:pStyle w:val="TableContents"/>
              <w:bidi w:val="0"/>
              <w:spacing w:before="0" w:after="283"/>
              <w:jc w:val="center"/>
              <w:rPr>
                <w:sz w:val="20"/>
              </w:rPr>
            </w:pPr>
            <w:r>
              <w:rPr>
                <w:sz w:val="20"/>
              </w:rPr>
              <w:t>/s/ Kevin Cureton</w:t>
            </w:r>
          </w:p>
        </w:tc>
        <w:tc>
          <w:tcPr>
            <w:tcW w:w="60" w:type="dxa"/>
            <w:tcBorders/>
            <w:tcMar>
              <w:bottom w:w="0" w:type="dxa"/>
            </w:tcMar>
            <w:vAlign w:val="center"/>
          </w:tcPr>
          <w:p>
            <w:pPr>
              <w:pStyle w:val="TableContents"/>
              <w:bidi w:val="0"/>
              <w:spacing w:before="0" w:after="283"/>
              <w:jc w:val="left"/>
              <w:rPr/>
            </w:pPr>
            <w:r>
              <w:rPr/>
              <w:t> </w:t>
            </w:r>
          </w:p>
        </w:tc>
        <w:tc>
          <w:tcPr>
            <w:tcW w:w="6155" w:type="dxa"/>
            <w:tcBorders/>
            <w:tcMar>
              <w:bottom w:w="0" w:type="dxa"/>
            </w:tcMar>
            <w:vAlign w:val="center"/>
          </w:tcPr>
          <w:p>
            <w:pPr>
              <w:pStyle w:val="TableContents"/>
              <w:bidi w:val="0"/>
              <w:spacing w:before="0" w:after="283"/>
              <w:jc w:val="left"/>
              <w:rPr>
                <w:sz w:val="20"/>
              </w:rPr>
            </w:pPr>
            <w:r>
              <w:rPr>
                <w:sz w:val="20"/>
              </w:rPr>
              <w:t>President, Chief Executive Officer (principal executive officer) and Director</w:t>
            </w:r>
          </w:p>
        </w:tc>
      </w:tr>
      <w:tr>
        <w:trPr/>
        <w:tc>
          <w:tcPr>
            <w:tcW w:w="1775" w:type="dxa"/>
            <w:tcBorders/>
            <w:tcMar>
              <w:bottom w:w="0" w:type="dxa"/>
            </w:tcMar>
            <w:vAlign w:val="center"/>
          </w:tcPr>
          <w:p>
            <w:pPr>
              <w:pStyle w:val="TableContents"/>
              <w:bidi w:val="0"/>
              <w:spacing w:before="0" w:after="283"/>
              <w:jc w:val="center"/>
              <w:rPr>
                <w:sz w:val="20"/>
              </w:rPr>
            </w:pPr>
            <w:r>
              <w:rPr>
                <w:sz w:val="20"/>
              </w:rPr>
              <w:t>Kevin Cureton</w:t>
            </w:r>
          </w:p>
        </w:tc>
        <w:tc>
          <w:tcPr>
            <w:tcW w:w="60" w:type="dxa"/>
            <w:tcBorders/>
            <w:tcMar>
              <w:bottom w:w="0" w:type="dxa"/>
            </w:tcMar>
            <w:vAlign w:val="center"/>
          </w:tcPr>
          <w:p>
            <w:pPr>
              <w:pStyle w:val="TableContents"/>
              <w:bidi w:val="0"/>
              <w:spacing w:before="0" w:after="283"/>
              <w:jc w:val="left"/>
              <w:rPr/>
            </w:pPr>
            <w:r>
              <w:rPr/>
              <w:t> </w:t>
            </w:r>
          </w:p>
        </w:tc>
        <w:tc>
          <w:tcPr>
            <w:tcW w:w="6155" w:type="dxa"/>
            <w:tcBorders/>
            <w:tcMar>
              <w:bottom w:w="0" w:type="dxa"/>
            </w:tcMar>
            <w:vAlign w:val="center"/>
          </w:tcPr>
          <w:p>
            <w:pPr>
              <w:pStyle w:val="TableContents"/>
              <w:bidi w:val="0"/>
              <w:spacing w:before="0" w:after="283"/>
              <w:jc w:val="left"/>
              <w:rPr>
                <w:sz w:val="4"/>
                <w:szCs w:val="4"/>
              </w:rPr>
            </w:pPr>
            <w:r>
              <w:rPr>
                <w:sz w:val="4"/>
                <w:szCs w:val="4"/>
              </w:rPr>
            </w:r>
          </w:p>
        </w:tc>
      </w:tr>
      <w:tr>
        <w:trPr/>
        <w:tc>
          <w:tcPr>
            <w:tcW w:w="177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6155" w:type="dxa"/>
            <w:tcBorders/>
            <w:tcMar>
              <w:bottom w:w="0" w:type="dxa"/>
            </w:tcMar>
            <w:vAlign w:val="center"/>
          </w:tcPr>
          <w:p>
            <w:pPr>
              <w:pStyle w:val="TableContents"/>
              <w:bidi w:val="0"/>
              <w:spacing w:before="0" w:after="283"/>
              <w:jc w:val="left"/>
              <w:rPr/>
            </w:pPr>
            <w:r>
              <w:rPr/>
              <w:t> </w:t>
            </w:r>
          </w:p>
        </w:tc>
      </w:tr>
      <w:tr>
        <w:trPr/>
        <w:tc>
          <w:tcPr>
            <w:tcW w:w="1775" w:type="dxa"/>
            <w:tcBorders>
              <w:bottom w:val="single" w:sz="8" w:space="0" w:color="000000"/>
            </w:tcBorders>
            <w:vAlign w:val="center"/>
          </w:tcPr>
          <w:p>
            <w:pPr>
              <w:pStyle w:val="TableContents"/>
              <w:bidi w:val="0"/>
              <w:spacing w:before="0" w:after="283"/>
              <w:jc w:val="center"/>
              <w:rPr>
                <w:sz w:val="20"/>
              </w:rPr>
            </w:pPr>
            <w:r>
              <w:rPr>
                <w:sz w:val="20"/>
              </w:rPr>
              <w:t>/s/ R. Janet Whitmore</w:t>
            </w:r>
          </w:p>
        </w:tc>
        <w:tc>
          <w:tcPr>
            <w:tcW w:w="60" w:type="dxa"/>
            <w:tcBorders/>
            <w:tcMar>
              <w:bottom w:w="0" w:type="dxa"/>
            </w:tcMar>
            <w:vAlign w:val="center"/>
          </w:tcPr>
          <w:p>
            <w:pPr>
              <w:pStyle w:val="TableContents"/>
              <w:bidi w:val="0"/>
              <w:spacing w:before="0" w:after="283"/>
              <w:jc w:val="left"/>
              <w:rPr/>
            </w:pPr>
            <w:r>
              <w:rPr/>
              <w:t> </w:t>
            </w:r>
          </w:p>
        </w:tc>
        <w:tc>
          <w:tcPr>
            <w:tcW w:w="6155" w:type="dxa"/>
            <w:tcBorders/>
            <w:tcMar>
              <w:bottom w:w="0" w:type="dxa"/>
            </w:tcMar>
            <w:vAlign w:val="center"/>
          </w:tcPr>
          <w:p>
            <w:pPr>
              <w:pStyle w:val="TableContents"/>
              <w:bidi w:val="0"/>
              <w:spacing w:before="0" w:after="283"/>
              <w:jc w:val="left"/>
              <w:rPr>
                <w:sz w:val="20"/>
              </w:rPr>
            </w:pPr>
            <w:r>
              <w:rPr>
                <w:sz w:val="20"/>
              </w:rPr>
              <w:t>Chair of the Board of Directors</w:t>
            </w:r>
          </w:p>
        </w:tc>
      </w:tr>
      <w:tr>
        <w:trPr/>
        <w:tc>
          <w:tcPr>
            <w:tcW w:w="1775" w:type="dxa"/>
            <w:tcBorders/>
            <w:tcMar>
              <w:bottom w:w="0" w:type="dxa"/>
            </w:tcMar>
            <w:vAlign w:val="center"/>
          </w:tcPr>
          <w:p>
            <w:pPr>
              <w:pStyle w:val="TableContents"/>
              <w:bidi w:val="0"/>
              <w:spacing w:before="0" w:after="283"/>
              <w:jc w:val="center"/>
              <w:rPr>
                <w:sz w:val="20"/>
              </w:rPr>
            </w:pPr>
            <w:r>
              <w:rPr>
                <w:sz w:val="20"/>
              </w:rPr>
              <w:t>R. Janet Whitmore</w:t>
            </w:r>
          </w:p>
        </w:tc>
        <w:tc>
          <w:tcPr>
            <w:tcW w:w="60" w:type="dxa"/>
            <w:tcBorders/>
            <w:tcMar>
              <w:bottom w:w="0" w:type="dxa"/>
            </w:tcMar>
            <w:vAlign w:val="center"/>
          </w:tcPr>
          <w:p>
            <w:pPr>
              <w:pStyle w:val="TableContents"/>
              <w:bidi w:val="0"/>
              <w:spacing w:before="0" w:after="283"/>
              <w:jc w:val="left"/>
              <w:rPr/>
            </w:pPr>
            <w:r>
              <w:rPr/>
              <w:t> </w:t>
            </w:r>
          </w:p>
        </w:tc>
        <w:tc>
          <w:tcPr>
            <w:tcW w:w="6155" w:type="dxa"/>
            <w:tcBorders/>
            <w:tcMar>
              <w:bottom w:w="0" w:type="dxa"/>
            </w:tcMar>
            <w:vAlign w:val="center"/>
          </w:tcPr>
          <w:p>
            <w:pPr>
              <w:pStyle w:val="TableContents"/>
              <w:bidi w:val="0"/>
              <w:spacing w:before="0" w:after="283"/>
              <w:jc w:val="left"/>
              <w:rPr/>
            </w:pPr>
            <w:r>
              <w:rPr/>
              <w:t> </w:t>
            </w:r>
          </w:p>
        </w:tc>
      </w:tr>
      <w:tr>
        <w:trPr/>
        <w:tc>
          <w:tcPr>
            <w:tcW w:w="177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6155" w:type="dxa"/>
            <w:tcBorders/>
            <w:tcMar>
              <w:bottom w:w="0" w:type="dxa"/>
            </w:tcMar>
            <w:vAlign w:val="center"/>
          </w:tcPr>
          <w:p>
            <w:pPr>
              <w:pStyle w:val="TableContents"/>
              <w:bidi w:val="0"/>
              <w:spacing w:before="0" w:after="283"/>
              <w:jc w:val="left"/>
              <w:rPr/>
            </w:pPr>
            <w:r>
              <w:rPr/>
              <w:t> </w:t>
            </w:r>
          </w:p>
        </w:tc>
      </w:tr>
      <w:tr>
        <w:trPr/>
        <w:tc>
          <w:tcPr>
            <w:tcW w:w="1775" w:type="dxa"/>
            <w:tcBorders>
              <w:bottom w:val="single" w:sz="8" w:space="0" w:color="000000"/>
            </w:tcBorders>
            <w:vAlign w:val="center"/>
          </w:tcPr>
          <w:p>
            <w:pPr>
              <w:pStyle w:val="TableContents"/>
              <w:bidi w:val="0"/>
              <w:spacing w:before="0" w:after="283"/>
              <w:jc w:val="center"/>
              <w:rPr>
                <w:sz w:val="20"/>
              </w:rPr>
            </w:pPr>
            <w:r>
              <w:rPr>
                <w:sz w:val="20"/>
              </w:rPr>
              <w:t>/s/ Laura M. Beres</w:t>
            </w:r>
          </w:p>
        </w:tc>
        <w:tc>
          <w:tcPr>
            <w:tcW w:w="60" w:type="dxa"/>
            <w:tcBorders/>
            <w:tcMar>
              <w:bottom w:w="0" w:type="dxa"/>
            </w:tcMar>
            <w:vAlign w:val="center"/>
          </w:tcPr>
          <w:p>
            <w:pPr>
              <w:pStyle w:val="TableContents"/>
              <w:bidi w:val="0"/>
              <w:spacing w:before="0" w:after="283"/>
              <w:jc w:val="left"/>
              <w:rPr/>
            </w:pPr>
            <w:r>
              <w:rPr/>
              <w:t> </w:t>
            </w:r>
          </w:p>
        </w:tc>
        <w:tc>
          <w:tcPr>
            <w:tcW w:w="6155" w:type="dxa"/>
            <w:tcBorders/>
            <w:tcMar>
              <w:bottom w:w="0" w:type="dxa"/>
            </w:tcMar>
            <w:vAlign w:val="center"/>
          </w:tcPr>
          <w:p>
            <w:pPr>
              <w:pStyle w:val="TableContents"/>
              <w:bidi w:val="0"/>
              <w:spacing w:before="0" w:after="283"/>
              <w:jc w:val="left"/>
              <w:rPr>
                <w:sz w:val="20"/>
              </w:rPr>
            </w:pPr>
            <w:r>
              <w:rPr>
                <w:sz w:val="20"/>
              </w:rPr>
              <w:t>Director</w:t>
            </w:r>
          </w:p>
        </w:tc>
      </w:tr>
      <w:tr>
        <w:trPr/>
        <w:tc>
          <w:tcPr>
            <w:tcW w:w="1775" w:type="dxa"/>
            <w:tcBorders/>
            <w:tcMar>
              <w:bottom w:w="0" w:type="dxa"/>
            </w:tcMar>
            <w:vAlign w:val="center"/>
          </w:tcPr>
          <w:p>
            <w:pPr>
              <w:pStyle w:val="TableContents"/>
              <w:bidi w:val="0"/>
              <w:spacing w:before="0" w:after="283"/>
              <w:jc w:val="center"/>
              <w:rPr>
                <w:sz w:val="20"/>
              </w:rPr>
            </w:pPr>
            <w:r>
              <w:rPr>
                <w:sz w:val="20"/>
              </w:rPr>
              <w:t>Laura M. Beres</w:t>
            </w:r>
          </w:p>
        </w:tc>
        <w:tc>
          <w:tcPr>
            <w:tcW w:w="60" w:type="dxa"/>
            <w:tcBorders/>
            <w:tcMar>
              <w:bottom w:w="0" w:type="dxa"/>
            </w:tcMar>
            <w:vAlign w:val="center"/>
          </w:tcPr>
          <w:p>
            <w:pPr>
              <w:pStyle w:val="TableContents"/>
              <w:bidi w:val="0"/>
              <w:spacing w:before="0" w:after="283"/>
              <w:jc w:val="left"/>
              <w:rPr/>
            </w:pPr>
            <w:r>
              <w:rPr/>
              <w:t> </w:t>
            </w:r>
          </w:p>
        </w:tc>
        <w:tc>
          <w:tcPr>
            <w:tcW w:w="6155" w:type="dxa"/>
            <w:tcBorders/>
            <w:tcMar>
              <w:bottom w:w="0" w:type="dxa"/>
            </w:tcMar>
            <w:vAlign w:val="center"/>
          </w:tcPr>
          <w:p>
            <w:pPr>
              <w:pStyle w:val="TableContents"/>
              <w:bidi w:val="0"/>
              <w:spacing w:before="0" w:after="283"/>
              <w:jc w:val="left"/>
              <w:rPr/>
            </w:pPr>
            <w:r>
              <w:rPr/>
              <w:t> </w:t>
            </w:r>
          </w:p>
        </w:tc>
      </w:tr>
      <w:tr>
        <w:trPr/>
        <w:tc>
          <w:tcPr>
            <w:tcW w:w="177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6155" w:type="dxa"/>
            <w:tcBorders/>
            <w:tcMar>
              <w:bottom w:w="0" w:type="dxa"/>
            </w:tcMar>
            <w:vAlign w:val="center"/>
          </w:tcPr>
          <w:p>
            <w:pPr>
              <w:pStyle w:val="TableContents"/>
              <w:bidi w:val="0"/>
              <w:spacing w:before="0" w:after="283"/>
              <w:jc w:val="left"/>
              <w:rPr/>
            </w:pPr>
            <w:r>
              <w:rPr/>
              <w:t> </w:t>
            </w:r>
          </w:p>
        </w:tc>
      </w:tr>
      <w:tr>
        <w:trPr/>
        <w:tc>
          <w:tcPr>
            <w:tcW w:w="1775" w:type="dxa"/>
            <w:tcBorders>
              <w:bottom w:val="single" w:sz="8" w:space="0" w:color="000000"/>
            </w:tcBorders>
            <w:vAlign w:val="center"/>
          </w:tcPr>
          <w:p>
            <w:pPr>
              <w:pStyle w:val="TableContents"/>
              <w:bidi w:val="0"/>
              <w:spacing w:before="0" w:after="283"/>
              <w:jc w:val="center"/>
              <w:rPr>
                <w:sz w:val="20"/>
              </w:rPr>
            </w:pPr>
            <w:r>
              <w:rPr>
                <w:sz w:val="20"/>
              </w:rPr>
              <w:t>/s/ Mark E. Miller</w:t>
            </w:r>
          </w:p>
        </w:tc>
        <w:tc>
          <w:tcPr>
            <w:tcW w:w="60" w:type="dxa"/>
            <w:tcBorders/>
            <w:tcMar>
              <w:bottom w:w="0" w:type="dxa"/>
            </w:tcMar>
            <w:vAlign w:val="center"/>
          </w:tcPr>
          <w:p>
            <w:pPr>
              <w:pStyle w:val="TableContents"/>
              <w:bidi w:val="0"/>
              <w:spacing w:before="0" w:after="283"/>
              <w:jc w:val="left"/>
              <w:rPr/>
            </w:pPr>
            <w:r>
              <w:rPr/>
              <w:t> </w:t>
            </w:r>
          </w:p>
        </w:tc>
        <w:tc>
          <w:tcPr>
            <w:tcW w:w="6155" w:type="dxa"/>
            <w:tcBorders/>
            <w:tcMar>
              <w:bottom w:w="0" w:type="dxa"/>
            </w:tcMar>
            <w:vAlign w:val="center"/>
          </w:tcPr>
          <w:p>
            <w:pPr>
              <w:pStyle w:val="TableContents"/>
              <w:bidi w:val="0"/>
              <w:spacing w:before="0" w:after="283"/>
              <w:jc w:val="left"/>
              <w:rPr>
                <w:sz w:val="20"/>
              </w:rPr>
            </w:pPr>
            <w:r>
              <w:rPr>
                <w:sz w:val="20"/>
              </w:rPr>
              <w:t>Director</w:t>
            </w:r>
          </w:p>
        </w:tc>
      </w:tr>
      <w:tr>
        <w:trPr/>
        <w:tc>
          <w:tcPr>
            <w:tcW w:w="1775" w:type="dxa"/>
            <w:tcBorders/>
            <w:tcMar>
              <w:bottom w:w="0" w:type="dxa"/>
            </w:tcMar>
            <w:vAlign w:val="center"/>
          </w:tcPr>
          <w:p>
            <w:pPr>
              <w:pStyle w:val="TableContents"/>
              <w:bidi w:val="0"/>
              <w:spacing w:before="0" w:after="283"/>
              <w:jc w:val="center"/>
              <w:rPr>
                <w:sz w:val="20"/>
              </w:rPr>
            </w:pPr>
            <w:r>
              <w:rPr>
                <w:sz w:val="20"/>
              </w:rPr>
              <w:t>Mark E. Miller</w:t>
            </w:r>
          </w:p>
        </w:tc>
        <w:tc>
          <w:tcPr>
            <w:tcW w:w="60" w:type="dxa"/>
            <w:tcBorders/>
            <w:tcMar>
              <w:bottom w:w="0" w:type="dxa"/>
            </w:tcMar>
            <w:vAlign w:val="center"/>
          </w:tcPr>
          <w:p>
            <w:pPr>
              <w:pStyle w:val="TableContents"/>
              <w:bidi w:val="0"/>
              <w:spacing w:before="0" w:after="283"/>
              <w:jc w:val="left"/>
              <w:rPr/>
            </w:pPr>
            <w:r>
              <w:rPr/>
              <w:t> </w:t>
            </w:r>
          </w:p>
        </w:tc>
        <w:tc>
          <w:tcPr>
            <w:tcW w:w="6155" w:type="dxa"/>
            <w:tcBorders/>
            <w:tcMar>
              <w:bottom w:w="0" w:type="dxa"/>
            </w:tcMar>
            <w:vAlign w:val="center"/>
          </w:tcPr>
          <w:p>
            <w:pPr>
              <w:pStyle w:val="TableContents"/>
              <w:bidi w:val="0"/>
              <w:spacing w:before="0" w:after="283"/>
              <w:jc w:val="left"/>
              <w:rPr/>
            </w:pPr>
            <w:r>
              <w:rPr/>
              <w:t> </w:t>
            </w:r>
          </w:p>
        </w:tc>
      </w:tr>
      <w:tr>
        <w:trPr/>
        <w:tc>
          <w:tcPr>
            <w:tcW w:w="177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6155" w:type="dxa"/>
            <w:tcBorders/>
            <w:tcMar>
              <w:bottom w:w="0" w:type="dxa"/>
            </w:tcMar>
            <w:vAlign w:val="center"/>
          </w:tcPr>
          <w:p>
            <w:pPr>
              <w:pStyle w:val="TableContents"/>
              <w:bidi w:val="0"/>
              <w:spacing w:before="0" w:after="283"/>
              <w:jc w:val="left"/>
              <w:rPr/>
            </w:pPr>
            <w:r>
              <w:rPr/>
              <w:t> </w:t>
            </w:r>
          </w:p>
        </w:tc>
      </w:tr>
      <w:tr>
        <w:trPr/>
        <w:tc>
          <w:tcPr>
            <w:tcW w:w="1775" w:type="dxa"/>
            <w:tcBorders>
              <w:bottom w:val="single" w:sz="8" w:space="0" w:color="000000"/>
            </w:tcBorders>
            <w:vAlign w:val="center"/>
          </w:tcPr>
          <w:p>
            <w:pPr>
              <w:pStyle w:val="TableContents"/>
              <w:bidi w:val="0"/>
              <w:spacing w:before="0" w:after="283"/>
              <w:jc w:val="center"/>
              <w:rPr>
                <w:sz w:val="20"/>
              </w:rPr>
            </w:pPr>
            <w:r>
              <w:rPr>
                <w:sz w:val="20"/>
              </w:rPr>
              <w:t>/s/ Laura Riffner</w:t>
            </w:r>
          </w:p>
        </w:tc>
        <w:tc>
          <w:tcPr>
            <w:tcW w:w="60" w:type="dxa"/>
            <w:tcBorders/>
            <w:tcMar>
              <w:bottom w:w="0" w:type="dxa"/>
            </w:tcMar>
            <w:vAlign w:val="center"/>
          </w:tcPr>
          <w:p>
            <w:pPr>
              <w:pStyle w:val="TableContents"/>
              <w:bidi w:val="0"/>
              <w:spacing w:before="0" w:after="283"/>
              <w:jc w:val="left"/>
              <w:rPr/>
            </w:pPr>
            <w:r>
              <w:rPr/>
              <w:t> </w:t>
            </w:r>
          </w:p>
        </w:tc>
        <w:tc>
          <w:tcPr>
            <w:tcW w:w="6155" w:type="dxa"/>
            <w:tcBorders/>
            <w:tcMar>
              <w:bottom w:w="0" w:type="dxa"/>
            </w:tcMar>
            <w:vAlign w:val="center"/>
          </w:tcPr>
          <w:p>
            <w:pPr>
              <w:pStyle w:val="TableContents"/>
              <w:bidi w:val="0"/>
              <w:spacing w:before="0" w:after="283"/>
              <w:jc w:val="left"/>
              <w:rPr>
                <w:sz w:val="20"/>
              </w:rPr>
            </w:pPr>
            <w:r>
              <w:rPr>
                <w:sz w:val="20"/>
              </w:rPr>
              <w:t>Chief Financial Officer (principal financial officer)</w:t>
            </w:r>
          </w:p>
        </w:tc>
      </w:tr>
      <w:tr>
        <w:trPr/>
        <w:tc>
          <w:tcPr>
            <w:tcW w:w="1775" w:type="dxa"/>
            <w:tcBorders/>
            <w:tcMar>
              <w:bottom w:w="0" w:type="dxa"/>
            </w:tcMar>
            <w:vAlign w:val="center"/>
          </w:tcPr>
          <w:p>
            <w:pPr>
              <w:pStyle w:val="TableContents"/>
              <w:bidi w:val="0"/>
              <w:spacing w:before="0" w:after="283"/>
              <w:jc w:val="center"/>
              <w:rPr>
                <w:sz w:val="20"/>
              </w:rPr>
            </w:pPr>
            <w:r>
              <w:rPr>
                <w:sz w:val="20"/>
              </w:rPr>
              <w:t>Laura Riffner</w:t>
            </w:r>
          </w:p>
        </w:tc>
        <w:tc>
          <w:tcPr>
            <w:tcW w:w="60" w:type="dxa"/>
            <w:tcBorders/>
            <w:tcMar>
              <w:bottom w:w="0" w:type="dxa"/>
            </w:tcMar>
            <w:vAlign w:val="center"/>
          </w:tcPr>
          <w:p>
            <w:pPr>
              <w:pStyle w:val="TableContents"/>
              <w:bidi w:val="0"/>
              <w:spacing w:before="0" w:after="283"/>
              <w:jc w:val="left"/>
              <w:rPr/>
            </w:pPr>
            <w:r>
              <w:rPr/>
              <w:t> </w:t>
            </w:r>
          </w:p>
        </w:tc>
        <w:tc>
          <w:tcPr>
            <w:tcW w:w="615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240" w:after="283"/>
        <w:jc w:val="left"/>
        <w:rPr>
          <w:bdr w:val="single" w:sz="16" w:space="1" w:color="000000"/>
        </w:rPr>
      </w:pPr>
      <w:bookmarkStart w:id="743" w:name="ex21-1.htm"/>
      <w:bookmarkStart w:id="744" w:name="ksex211"/>
      <w:bookmarkEnd w:id="743"/>
      <w:bookmarkEnd w:id="744"/>
      <w:r>
        <w:rPr>
          <w:bdr w:val="single" w:sz="16" w:space="1" w:color="000000"/>
        </w:rPr>
        <w:t> </w:t>
      </w:r>
      <w:r>
        <w:br w:type="page"/>
      </w:r>
    </w:p>
    <w:p>
      <w:pPr>
        <w:pStyle w:val="TextBody"/>
        <w:bidi w:val="0"/>
        <w:spacing w:before="0" w:after="0"/>
        <w:ind w:left="0" w:right="0" w:hanging="0"/>
        <w:jc w:val="left"/>
        <w:rPr/>
      </w:pPr>
      <w:hyperlink w:anchor="slsn-10k_123125.htm">
        <w:r>
          <w:rPr>
            <w:rStyle w:val="InternetLink"/>
            <w:rFonts w:ascii="Times New Roman;Times;Serif" w:hAnsi="Times New Roman;Times;Serif"/>
            <w:b w:val="false"/>
            <w:i w:val="false"/>
            <w:caps w:val="false"/>
            <w:smallCaps w:val="false"/>
            <w:sz w:val="20"/>
          </w:rPr>
          <w:t>SOLÉSENCE, INC. 10-K</w:t>
        </w:r>
      </w:hyperlink>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21.1</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SUBSIDIARY OF SOLÉSENCE,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December 31, 2025)</w:t>
      </w:r>
    </w:p>
    <w:p>
      <w:pPr>
        <w:pStyle w:val="TextBody"/>
        <w:bidi w:val="0"/>
        <w:spacing w:before="0" w:after="0"/>
        <w:ind w:left="0" w:right="0" w:hanging="0"/>
        <w:jc w:val="center"/>
        <w:rPr>
          <w:caps w:val="false"/>
          <w:smallCaps w:val="false"/>
        </w:rPr>
      </w:pPr>
      <w:r>
        <w:rPr>
          <w:caps w:val="false"/>
          <w:smallCaps w:val="false"/>
        </w:rPr>
        <w:t> </w:t>
      </w:r>
    </w:p>
    <w:tbl>
      <w:tblPr>
        <w:tblW w:w="3595" w:type="dxa"/>
        <w:jc w:val="left"/>
        <w:tblInd w:w="0" w:type="dxa"/>
        <w:tblLayout w:type="fixed"/>
        <w:tblCellMar>
          <w:top w:w="0" w:type="dxa"/>
          <w:left w:w="0" w:type="dxa"/>
          <w:bottom w:w="0" w:type="dxa"/>
          <w:right w:w="0" w:type="dxa"/>
        </w:tblCellMar>
      </w:tblPr>
      <w:tblGrid>
        <w:gridCol w:w="75"/>
        <w:gridCol w:w="1295"/>
        <w:gridCol w:w="2225"/>
      </w:tblGrid>
      <w:tr>
        <w:trPr/>
        <w:tc>
          <w:tcPr>
            <w:tcW w:w="75"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left"/>
              <w:rPr>
                <w:b/>
                <w:sz w:val="20"/>
                <w:u w:val="single"/>
              </w:rPr>
            </w:pPr>
            <w:r>
              <w:rPr>
                <w:b/>
                <w:sz w:val="20"/>
                <w:u w:val="single"/>
              </w:rPr>
              <w:t>Name</w:t>
            </w:r>
          </w:p>
        </w:tc>
        <w:tc>
          <w:tcPr>
            <w:tcW w:w="2225" w:type="dxa"/>
            <w:tcBorders/>
            <w:vAlign w:val="center"/>
          </w:tcPr>
          <w:p>
            <w:pPr>
              <w:pStyle w:val="TableContents"/>
              <w:bidi w:val="0"/>
              <w:spacing w:before="0" w:after="283"/>
              <w:jc w:val="left"/>
              <w:rPr>
                <w:b/>
                <w:sz w:val="20"/>
                <w:u w:val="single"/>
              </w:rPr>
            </w:pPr>
            <w:r>
              <w:rPr>
                <w:b/>
                <w:sz w:val="20"/>
                <w:u w:val="single"/>
              </w:rPr>
              <w:t>Jurisdiction of Formation</w:t>
            </w:r>
          </w:p>
        </w:tc>
      </w:tr>
      <w:tr>
        <w:trPr/>
        <w:tc>
          <w:tcPr>
            <w:tcW w:w="75"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left"/>
              <w:rPr>
                <w:sz w:val="20"/>
              </w:rPr>
            </w:pPr>
            <w:r>
              <w:rPr>
                <w:sz w:val="20"/>
              </w:rPr>
              <w:t>Solésence, LLC</w:t>
            </w:r>
          </w:p>
        </w:tc>
        <w:tc>
          <w:tcPr>
            <w:tcW w:w="2225" w:type="dxa"/>
            <w:tcBorders/>
            <w:vAlign w:val="center"/>
          </w:tcPr>
          <w:p>
            <w:pPr>
              <w:pStyle w:val="TableContents"/>
              <w:bidi w:val="0"/>
              <w:spacing w:before="0" w:after="283"/>
              <w:jc w:val="left"/>
              <w:rPr>
                <w:sz w:val="20"/>
              </w:rPr>
            </w:pPr>
            <w:r>
              <w:rPr>
                <w:sz w:val="20"/>
              </w:rPr>
              <w:t>Delaware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240" w:after="283"/>
        <w:jc w:val="left"/>
        <w:rPr>
          <w:bdr w:val="single" w:sz="16" w:space="1" w:color="000000"/>
        </w:rPr>
      </w:pPr>
      <w:bookmarkStart w:id="745" w:name="ex23-1.htm"/>
      <w:bookmarkStart w:id="746" w:name="ksex231"/>
      <w:bookmarkEnd w:id="745"/>
      <w:bookmarkEnd w:id="746"/>
      <w:r>
        <w:rPr>
          <w:bdr w:val="single" w:sz="16" w:space="1" w:color="000000"/>
        </w:rPr>
        <w:t> </w:t>
      </w:r>
      <w:r>
        <w:br w:type="page"/>
      </w:r>
    </w:p>
    <w:p>
      <w:pPr>
        <w:pStyle w:val="TextBody"/>
        <w:bidi w:val="0"/>
        <w:spacing w:before="0" w:after="0"/>
        <w:jc w:val="left"/>
        <w:rPr/>
      </w:pPr>
      <w:hyperlink w:anchor="slsn-10k_123125.htm">
        <w:r>
          <w:rPr>
            <w:rStyle w:val="InternetLink"/>
            <w:rFonts w:ascii="Times New Roman;Times;Serif" w:hAnsi="Times New Roman;Times;Serif"/>
            <w:b w:val="false"/>
            <w:i w:val="false"/>
            <w:caps w:val="false"/>
            <w:smallCaps w:val="false"/>
            <w:sz w:val="20"/>
          </w:rPr>
          <w:t>SOLÉSENCE, INC. 10-K</w:t>
        </w:r>
      </w:hyperlink>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23.1</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incorporation by reference in the Registration Statements (No. 333-53445, No. 333-74170, No. 333-119466, No. 333-150765, No. 333-187649, and No. 333-255357) on Form S-8 and Registration Statements (No. 333-90326, No. 333-116224, No. 333-140461, and No. 333-163363) on Form S-3 of Solesence, Inc. of our report dated March 31, 2026, relating to the consolidated financial statements, of Solesence, Inc., appearing in this Annual Report on Form 10-K of Solesence, Inc. for the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RSM US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Milwaukee, Wisconsin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240" w:after="283"/>
        <w:ind w:left="0" w:right="0" w:hanging="0"/>
        <w:jc w:val="left"/>
        <w:rPr>
          <w:bdr w:val="single" w:sz="16" w:space="1" w:color="000000"/>
        </w:rPr>
      </w:pPr>
      <w:bookmarkStart w:id="747" w:name="ex31-1.htm"/>
      <w:bookmarkStart w:id="748" w:name="ksex311"/>
      <w:bookmarkEnd w:id="747"/>
      <w:bookmarkEnd w:id="748"/>
      <w:r>
        <w:rPr>
          <w:bdr w:val="single" w:sz="16" w:space="1" w:color="000000"/>
        </w:rPr>
        <w:t> </w:t>
      </w:r>
      <w:r>
        <w:br w:type="page"/>
      </w:r>
    </w:p>
    <w:p>
      <w:pPr>
        <w:pStyle w:val="TextBody"/>
        <w:bidi w:val="0"/>
        <w:spacing w:before="0" w:after="0"/>
        <w:jc w:val="left"/>
        <w:rPr/>
      </w:pPr>
      <w:hyperlink w:anchor="slsn-10k_123125.htm">
        <w:r>
          <w:rPr>
            <w:rStyle w:val="InternetLink"/>
            <w:rFonts w:ascii="Times New Roman;Times;Serif" w:hAnsi="Times New Roman;Times;Serif"/>
            <w:b w:val="false"/>
            <w:i w:val="false"/>
            <w:caps w:val="false"/>
            <w:smallCaps w:val="false"/>
            <w:sz w:val="20"/>
          </w:rPr>
          <w:t>SOLÉSENCE, INC. 10-K</w:t>
        </w:r>
      </w:hyperlink>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31.1</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the Chief Executive Officer</w:t>
        <w:br/>
        <w:t>Pursuant to</w:t>
      </w:r>
    </w:p>
    <w:p>
      <w:pPr>
        <w:pStyle w:val="TextBody"/>
        <w:bidi w:val="0"/>
        <w:spacing w:before="0" w:after="0"/>
        <w:ind w:left="127"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Rules 13a-14(a) and 15d-14(a) under the Exchange Act</w:t>
      </w:r>
    </w:p>
    <w:p>
      <w:pPr>
        <w:pStyle w:val="TextBody"/>
        <w:bidi w:val="0"/>
        <w:spacing w:before="0" w:after="0"/>
        <w:ind w:left="127"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 Kevin Cureton, certify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 have reviewed this annual report on Form 10-K of Solésence, Inc,;</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576" w:right="113"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576" w:right="113" w:firstLine="648"/>
        <w:jc w:val="both"/>
        <w:rPr>
          <w:caps w:val="false"/>
          <w:smallCaps w:val="false"/>
        </w:rPr>
      </w:pPr>
      <w:r>
        <w:rPr>
          <w:caps w:val="false"/>
          <w:smallCaps w:val="false"/>
        </w:rPr>
        <w:t> </w:t>
      </w:r>
    </w:p>
    <w:p>
      <w:pPr>
        <w:pStyle w:val="TextBody"/>
        <w:bidi w:val="0"/>
        <w:spacing w:before="0" w:after="0"/>
        <w:ind w:left="576" w:right="113"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576" w:right="113" w:firstLine="648"/>
        <w:jc w:val="both"/>
        <w:rPr>
          <w:caps w:val="false"/>
          <w:smallCaps w:val="false"/>
        </w:rPr>
      </w:pPr>
      <w:r>
        <w:rPr>
          <w:caps w:val="false"/>
          <w:smallCaps w:val="false"/>
        </w:rPr>
        <w:t> </w:t>
      </w:r>
    </w:p>
    <w:p>
      <w:pPr>
        <w:pStyle w:val="TextBody"/>
        <w:bidi w:val="0"/>
        <w:spacing w:before="0" w:after="0"/>
        <w:ind w:left="576" w:right="113"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576" w:right="113" w:firstLine="648"/>
        <w:jc w:val="both"/>
        <w:rPr>
          <w:caps w:val="false"/>
          <w:smallCaps w:val="false"/>
        </w:rPr>
      </w:pPr>
      <w:r>
        <w:rPr>
          <w:caps w:val="false"/>
          <w:smallCaps w:val="false"/>
        </w:rPr>
        <w:t> </w:t>
      </w:r>
    </w:p>
    <w:p>
      <w:pPr>
        <w:pStyle w:val="TextBody"/>
        <w:bidi w:val="0"/>
        <w:spacing w:before="0" w:after="0"/>
        <w:ind w:left="576" w:right="113"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576" w:right="113" w:firstLine="648"/>
        <w:jc w:val="both"/>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576" w:right="113"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576" w:right="113" w:firstLine="648"/>
        <w:jc w:val="both"/>
        <w:rPr>
          <w:caps w:val="false"/>
          <w:smallCaps w:val="false"/>
        </w:rPr>
      </w:pPr>
      <w:r>
        <w:rPr>
          <w:caps w:val="false"/>
          <w:smallCaps w:val="false"/>
        </w:rPr>
        <w:t> </w:t>
      </w:r>
    </w:p>
    <w:p>
      <w:pPr>
        <w:pStyle w:val="TextBody"/>
        <w:bidi w:val="0"/>
        <w:spacing w:before="0" w:after="0"/>
        <w:ind w:left="576" w:right="113"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fraud, whether or not material, that involves management or other employees who have a significant role in the registrant’s internal control over financial reporting.</w:t>
      </w:r>
    </w:p>
    <w:p>
      <w:pPr>
        <w:pStyle w:val="TextBody"/>
        <w:bidi w:val="0"/>
        <w:spacing w:before="0" w:after="0"/>
        <w:ind w:left="576" w:right="113" w:firstLine="648"/>
        <w:jc w:val="both"/>
        <w:rPr>
          <w:caps w:val="false"/>
          <w:smallCaps w:val="false"/>
        </w:rPr>
      </w:pPr>
      <w:r>
        <w:rPr>
          <w:caps w:val="false"/>
          <w:smallCaps w:val="false"/>
        </w:rPr>
        <w:t> </w:t>
      </w:r>
    </w:p>
    <w:tbl>
      <w:tblPr>
        <w:tblW w:w="5114" w:type="dxa"/>
        <w:jc w:val="left"/>
        <w:tblInd w:w="0" w:type="dxa"/>
        <w:tblLayout w:type="fixed"/>
        <w:tblCellMar>
          <w:top w:w="0" w:type="dxa"/>
          <w:left w:w="0" w:type="dxa"/>
          <w:bottom w:w="0" w:type="dxa"/>
          <w:right w:w="0" w:type="dxa"/>
        </w:tblCellMar>
      </w:tblPr>
      <w:tblGrid>
        <w:gridCol w:w="1805"/>
        <w:gridCol w:w="215"/>
        <w:gridCol w:w="2915"/>
        <w:gridCol w:w="179"/>
      </w:tblGrid>
      <w:tr>
        <w:trPr/>
        <w:tc>
          <w:tcPr>
            <w:tcW w:w="1805" w:type="dxa"/>
            <w:tcBorders/>
            <w:vAlign w:val="center"/>
          </w:tcPr>
          <w:p>
            <w:pPr>
              <w:pStyle w:val="TableContents"/>
              <w:bidi w:val="0"/>
              <w:spacing w:before="0" w:after="283"/>
              <w:jc w:val="left"/>
              <w:rPr>
                <w:sz w:val="20"/>
              </w:rPr>
            </w:pPr>
            <w:r>
              <w:rPr>
                <w:sz w:val="20"/>
              </w:rPr>
              <w:t>Date: March 31, 2026</w:t>
            </w:r>
          </w:p>
        </w:tc>
        <w:tc>
          <w:tcPr>
            <w:tcW w:w="215" w:type="dxa"/>
            <w:tcBorders/>
            <w:vAlign w:val="center"/>
          </w:tcPr>
          <w:p>
            <w:pPr>
              <w:pStyle w:val="TableContents"/>
              <w:bidi w:val="0"/>
              <w:spacing w:before="0" w:after="283"/>
              <w:jc w:val="left"/>
              <w:rPr/>
            </w:pPr>
            <w:r>
              <w:rPr/>
              <w:t> </w:t>
            </w:r>
          </w:p>
        </w:tc>
        <w:tc>
          <w:tcPr>
            <w:tcW w:w="3094" w:type="dxa"/>
            <w:gridSpan w:val="2"/>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3094" w:type="dxa"/>
            <w:gridSpan w:val="2"/>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pPr>
            <w:r>
              <w:rPr/>
              <w:t> </w:t>
            </w:r>
          </w:p>
        </w:tc>
        <w:tc>
          <w:tcPr>
            <w:tcW w:w="215" w:type="dxa"/>
            <w:tcBorders>
              <w:bottom w:val="single" w:sz="8" w:space="0" w:color="000000"/>
            </w:tcBorders>
            <w:tcMar>
              <w:bottom w:w="28" w:type="dxa"/>
            </w:tcMar>
            <w:vAlign w:val="center"/>
          </w:tcPr>
          <w:p>
            <w:pPr>
              <w:pStyle w:val="TableContents"/>
              <w:bidi w:val="0"/>
              <w:spacing w:before="0" w:after="283"/>
              <w:jc w:val="left"/>
              <w:rPr>
                <w:sz w:val="20"/>
              </w:rPr>
            </w:pPr>
            <w:r>
              <w:rPr>
                <w:sz w:val="20"/>
              </w:rPr>
              <w:t>/s/</w:t>
            </w:r>
          </w:p>
        </w:tc>
        <w:tc>
          <w:tcPr>
            <w:tcW w:w="2915" w:type="dxa"/>
            <w:tcBorders>
              <w:bottom w:val="single" w:sz="8" w:space="0" w:color="000000"/>
            </w:tcBorders>
            <w:tcMar>
              <w:bottom w:w="28" w:type="dxa"/>
            </w:tcMar>
            <w:vAlign w:val="center"/>
          </w:tcPr>
          <w:p>
            <w:pPr>
              <w:pStyle w:val="TableContents"/>
              <w:bidi w:val="0"/>
              <w:spacing w:before="0" w:after="283"/>
              <w:jc w:val="left"/>
              <w:rPr>
                <w:sz w:val="20"/>
              </w:rPr>
            </w:pPr>
            <w:r>
              <w:rPr>
                <w:sz w:val="20"/>
              </w:rPr>
              <w:t>Kevin Cureton</w:t>
            </w:r>
          </w:p>
        </w:tc>
        <w:tc>
          <w:tcPr>
            <w:tcW w:w="179" w:type="dxa"/>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3094" w:type="dxa"/>
            <w:gridSpan w:val="2"/>
            <w:tcBorders/>
            <w:vAlign w:val="center"/>
          </w:tcPr>
          <w:p>
            <w:pPr>
              <w:pStyle w:val="TableContents"/>
              <w:bidi w:val="0"/>
              <w:spacing w:before="0" w:after="283"/>
              <w:jc w:val="left"/>
              <w:rPr>
                <w:sz w:val="20"/>
              </w:rPr>
            </w:pPr>
            <w:r>
              <w:rPr>
                <w:sz w:val="20"/>
              </w:rPr>
              <w:t>Kevin Cureton</w:t>
            </w:r>
          </w:p>
        </w:tc>
      </w:tr>
      <w:tr>
        <w:trPr/>
        <w:tc>
          <w:tcPr>
            <w:tcW w:w="180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3094" w:type="dxa"/>
            <w:gridSpan w:val="2"/>
            <w:tcBorders/>
            <w:vAlign w:val="center"/>
          </w:tcPr>
          <w:p>
            <w:pPr>
              <w:pStyle w:val="TableContents"/>
              <w:bidi w:val="0"/>
              <w:spacing w:before="0" w:after="283"/>
              <w:jc w:val="left"/>
              <w:rPr>
                <w:sz w:val="20"/>
              </w:rPr>
            </w:pPr>
            <w:r>
              <w:rPr>
                <w:sz w:val="20"/>
              </w:rPr>
              <w:t>President and Chief Executive Officer</w:t>
            </w:r>
          </w:p>
        </w:tc>
      </w:tr>
      <w:tr>
        <w:trPr/>
        <w:tc>
          <w:tcPr>
            <w:tcW w:w="180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3094" w:type="dxa"/>
            <w:gridSpan w:val="2"/>
            <w:tcBorders/>
            <w:vAlign w:val="center"/>
          </w:tcPr>
          <w:p>
            <w:pPr>
              <w:pStyle w:val="TableContents"/>
              <w:bidi w:val="0"/>
              <w:spacing w:before="0" w:after="283"/>
              <w:jc w:val="left"/>
              <w:rPr>
                <w:sz w:val="20"/>
              </w:rPr>
            </w:pPr>
            <w:r>
              <w:rPr>
                <w:sz w:val="20"/>
              </w:rPr>
              <w:t>(Principal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240" w:after="283"/>
        <w:jc w:val="left"/>
        <w:rPr>
          <w:bdr w:val="single" w:sz="16" w:space="1" w:color="000000"/>
        </w:rPr>
      </w:pPr>
      <w:bookmarkStart w:id="749" w:name="ex31-2.htm"/>
      <w:bookmarkStart w:id="750" w:name="ksex312"/>
      <w:bookmarkEnd w:id="749"/>
      <w:bookmarkEnd w:id="750"/>
      <w:r>
        <w:rPr>
          <w:bdr w:val="single" w:sz="16" w:space="1" w:color="000000"/>
        </w:rPr>
        <w:t> </w:t>
      </w:r>
      <w:r>
        <w:br w:type="page"/>
      </w:r>
    </w:p>
    <w:p>
      <w:pPr>
        <w:pStyle w:val="TextBody"/>
        <w:bidi w:val="0"/>
        <w:spacing w:before="0" w:after="0"/>
        <w:jc w:val="left"/>
        <w:rPr/>
      </w:pPr>
      <w:hyperlink w:anchor="slsn-10k_123125.htm">
        <w:r>
          <w:rPr>
            <w:rStyle w:val="InternetLink"/>
            <w:rFonts w:ascii="Times New Roman;Times;Serif" w:hAnsi="Times New Roman;Times;Serif"/>
            <w:b w:val="false"/>
            <w:i w:val="false"/>
            <w:caps w:val="false"/>
            <w:smallCaps w:val="false"/>
            <w:sz w:val="20"/>
          </w:rPr>
          <w:t>SOLÉSENCE, INC. 10-K</w:t>
        </w:r>
      </w:hyperlink>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31.2</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529" w:right="448"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the Chief Financial Officer</w:t>
        <w:br/>
        <w:t xml:space="preserve">Pursuant to </w:t>
      </w:r>
    </w:p>
    <w:p>
      <w:pPr>
        <w:pStyle w:val="TextBody"/>
        <w:bidi w:val="0"/>
        <w:spacing w:before="0" w:after="0"/>
        <w:ind w:left="127"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Rules 13a-14(a) and 15d-14(a) under the Exchange Act</w:t>
      </w:r>
    </w:p>
    <w:p>
      <w:pPr>
        <w:pStyle w:val="TextBody"/>
        <w:bidi w:val="0"/>
        <w:spacing w:before="0" w:after="0"/>
        <w:ind w:left="127"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 Laura Riffner, certify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 have reviewed this annual report on Form 10-K of Solésence, Inc.;</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576" w:right="113"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576" w:right="113" w:firstLine="648"/>
        <w:jc w:val="both"/>
        <w:rPr>
          <w:caps w:val="false"/>
          <w:smallCaps w:val="false"/>
        </w:rPr>
      </w:pPr>
      <w:r>
        <w:rPr>
          <w:caps w:val="false"/>
          <w:smallCaps w:val="false"/>
        </w:rPr>
        <w:t> </w:t>
      </w:r>
    </w:p>
    <w:p>
      <w:pPr>
        <w:pStyle w:val="TextBody"/>
        <w:bidi w:val="0"/>
        <w:spacing w:before="0" w:after="0"/>
        <w:ind w:left="576" w:right="113"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576" w:right="113" w:firstLine="648"/>
        <w:jc w:val="both"/>
        <w:rPr>
          <w:caps w:val="false"/>
          <w:smallCaps w:val="false"/>
        </w:rPr>
      </w:pPr>
      <w:r>
        <w:rPr>
          <w:caps w:val="false"/>
          <w:smallCaps w:val="false"/>
        </w:rPr>
        <w:t> </w:t>
      </w:r>
    </w:p>
    <w:p>
      <w:pPr>
        <w:pStyle w:val="TextBody"/>
        <w:bidi w:val="0"/>
        <w:spacing w:before="0" w:after="0"/>
        <w:ind w:left="576" w:right="113"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576" w:right="113" w:firstLine="648"/>
        <w:jc w:val="both"/>
        <w:rPr>
          <w:caps w:val="false"/>
          <w:smallCaps w:val="false"/>
        </w:rPr>
      </w:pPr>
      <w:r>
        <w:rPr>
          <w:caps w:val="false"/>
          <w:smallCaps w:val="false"/>
        </w:rPr>
        <w:t> </w:t>
      </w:r>
    </w:p>
    <w:p>
      <w:pPr>
        <w:pStyle w:val="TextBody"/>
        <w:bidi w:val="0"/>
        <w:spacing w:before="0" w:after="0"/>
        <w:ind w:left="576" w:right="113"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576" w:right="113" w:firstLine="648"/>
        <w:jc w:val="both"/>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576" w:right="113"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576" w:right="113" w:firstLine="648"/>
        <w:jc w:val="both"/>
        <w:rPr>
          <w:caps w:val="false"/>
          <w:smallCaps w:val="false"/>
        </w:rPr>
      </w:pPr>
      <w:r>
        <w:rPr>
          <w:caps w:val="false"/>
          <w:smallCaps w:val="false"/>
        </w:rPr>
        <w:t> </w:t>
      </w:r>
    </w:p>
    <w:p>
      <w:pPr>
        <w:pStyle w:val="TextBody"/>
        <w:bidi w:val="0"/>
        <w:spacing w:before="0" w:after="0"/>
        <w:ind w:left="576" w:right="113"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fraud, whether or not material, that involves management or other employees who have a significant role in the registrant’s internal control over financial reporting.</w:t>
      </w:r>
    </w:p>
    <w:p>
      <w:pPr>
        <w:pStyle w:val="TextBody"/>
        <w:bidi w:val="0"/>
        <w:spacing w:before="0" w:after="0"/>
        <w:ind w:left="576" w:right="113" w:firstLine="648"/>
        <w:jc w:val="both"/>
        <w:rPr>
          <w:caps w:val="false"/>
          <w:smallCaps w:val="false"/>
        </w:rPr>
      </w:pPr>
      <w:r>
        <w:rPr>
          <w:caps w:val="false"/>
          <w:smallCaps w:val="false"/>
        </w:rPr>
        <w:t> </w:t>
      </w:r>
    </w:p>
    <w:tbl>
      <w:tblPr>
        <w:tblW w:w="4319" w:type="dxa"/>
        <w:jc w:val="left"/>
        <w:tblInd w:w="0" w:type="dxa"/>
        <w:tblLayout w:type="fixed"/>
        <w:tblCellMar>
          <w:top w:w="0" w:type="dxa"/>
          <w:left w:w="0" w:type="dxa"/>
          <w:bottom w:w="0" w:type="dxa"/>
          <w:right w:w="0" w:type="dxa"/>
        </w:tblCellMar>
      </w:tblPr>
      <w:tblGrid>
        <w:gridCol w:w="1805"/>
        <w:gridCol w:w="215"/>
        <w:gridCol w:w="2154"/>
        <w:gridCol w:w="145"/>
      </w:tblGrid>
      <w:tr>
        <w:trPr/>
        <w:tc>
          <w:tcPr>
            <w:tcW w:w="1805" w:type="dxa"/>
            <w:tcBorders/>
            <w:vAlign w:val="center"/>
          </w:tcPr>
          <w:p>
            <w:pPr>
              <w:pStyle w:val="TableContents"/>
              <w:bidi w:val="0"/>
              <w:spacing w:before="0" w:after="283"/>
              <w:jc w:val="left"/>
              <w:rPr>
                <w:sz w:val="20"/>
              </w:rPr>
            </w:pPr>
            <w:r>
              <w:rPr>
                <w:sz w:val="20"/>
              </w:rPr>
              <w:t>Date: March 31, 2026</w:t>
            </w:r>
          </w:p>
        </w:tc>
        <w:tc>
          <w:tcPr>
            <w:tcW w:w="215" w:type="dxa"/>
            <w:tcBorders/>
            <w:vAlign w:val="center"/>
          </w:tcPr>
          <w:p>
            <w:pPr>
              <w:pStyle w:val="TableContents"/>
              <w:bidi w:val="0"/>
              <w:spacing w:before="0" w:after="283"/>
              <w:jc w:val="left"/>
              <w:rPr/>
            </w:pPr>
            <w:r>
              <w:rPr/>
              <w:t> </w:t>
            </w:r>
          </w:p>
        </w:tc>
        <w:tc>
          <w:tcPr>
            <w:tcW w:w="2299" w:type="dxa"/>
            <w:gridSpan w:val="2"/>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2299" w:type="dxa"/>
            <w:gridSpan w:val="2"/>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pPr>
            <w:r>
              <w:rPr/>
              <w:t> </w:t>
            </w:r>
          </w:p>
        </w:tc>
        <w:tc>
          <w:tcPr>
            <w:tcW w:w="215" w:type="dxa"/>
            <w:tcBorders>
              <w:bottom w:val="single" w:sz="8" w:space="0" w:color="000000"/>
            </w:tcBorders>
            <w:tcMar>
              <w:bottom w:w="28" w:type="dxa"/>
            </w:tcMar>
            <w:vAlign w:val="center"/>
          </w:tcPr>
          <w:p>
            <w:pPr>
              <w:pStyle w:val="TableContents"/>
              <w:bidi w:val="0"/>
              <w:spacing w:before="0" w:after="283"/>
              <w:jc w:val="left"/>
              <w:rPr>
                <w:sz w:val="20"/>
              </w:rPr>
            </w:pPr>
            <w:r>
              <w:rPr>
                <w:sz w:val="20"/>
              </w:rPr>
              <w:t>/s/</w:t>
            </w:r>
          </w:p>
        </w:tc>
        <w:tc>
          <w:tcPr>
            <w:tcW w:w="2154" w:type="dxa"/>
            <w:tcBorders>
              <w:bottom w:val="single" w:sz="8" w:space="0" w:color="000000"/>
            </w:tcBorders>
            <w:tcMar>
              <w:bottom w:w="28" w:type="dxa"/>
            </w:tcMar>
            <w:vAlign w:val="center"/>
          </w:tcPr>
          <w:p>
            <w:pPr>
              <w:pStyle w:val="TableContents"/>
              <w:bidi w:val="0"/>
              <w:spacing w:before="0" w:after="283"/>
              <w:jc w:val="left"/>
              <w:rPr>
                <w:sz w:val="20"/>
              </w:rPr>
            </w:pPr>
            <w:r>
              <w:rPr>
                <w:sz w:val="20"/>
              </w:rPr>
              <w:t>Laura Riffner</w:t>
            </w:r>
          </w:p>
        </w:tc>
        <w:tc>
          <w:tcPr>
            <w:tcW w:w="145" w:type="dxa"/>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2299" w:type="dxa"/>
            <w:gridSpan w:val="2"/>
            <w:tcBorders/>
            <w:vAlign w:val="center"/>
          </w:tcPr>
          <w:p>
            <w:pPr>
              <w:pStyle w:val="TableContents"/>
              <w:bidi w:val="0"/>
              <w:spacing w:before="0" w:after="283"/>
              <w:jc w:val="left"/>
              <w:rPr>
                <w:sz w:val="20"/>
              </w:rPr>
            </w:pPr>
            <w:r>
              <w:rPr>
                <w:sz w:val="20"/>
              </w:rPr>
              <w:t>Laura Riffner</w:t>
            </w:r>
          </w:p>
        </w:tc>
      </w:tr>
      <w:tr>
        <w:trPr/>
        <w:tc>
          <w:tcPr>
            <w:tcW w:w="180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2299" w:type="dxa"/>
            <w:gridSpan w:val="2"/>
            <w:tcBorders/>
            <w:vAlign w:val="center"/>
          </w:tcPr>
          <w:p>
            <w:pPr>
              <w:pStyle w:val="TableContents"/>
              <w:bidi w:val="0"/>
              <w:spacing w:before="0" w:after="283"/>
              <w:jc w:val="left"/>
              <w:rPr>
                <w:sz w:val="20"/>
              </w:rPr>
            </w:pPr>
            <w:r>
              <w:rPr>
                <w:sz w:val="20"/>
              </w:rPr>
              <w:t>Chief Financial Officer</w:t>
            </w:r>
          </w:p>
        </w:tc>
      </w:tr>
      <w:tr>
        <w:trPr/>
        <w:tc>
          <w:tcPr>
            <w:tcW w:w="180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2299" w:type="dxa"/>
            <w:gridSpan w:val="2"/>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Officer)</w:t>
            </w:r>
          </w:p>
          <w:p>
            <w:pPr>
              <w:pStyle w:val="TableContents"/>
              <w:bidi w:val="0"/>
              <w:spacing w:before="0" w:after="0"/>
              <w:ind w:left="0" w:right="0" w:hanging="0"/>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240" w:after="283"/>
        <w:jc w:val="left"/>
        <w:rPr>
          <w:bdr w:val="single" w:sz="16" w:space="1" w:color="000000"/>
        </w:rPr>
      </w:pPr>
      <w:bookmarkStart w:id="751" w:name="ex32.htm"/>
      <w:bookmarkStart w:id="752" w:name="ksex32"/>
      <w:bookmarkEnd w:id="751"/>
      <w:bookmarkEnd w:id="752"/>
      <w:r>
        <w:rPr>
          <w:bdr w:val="single" w:sz="16" w:space="1" w:color="000000"/>
        </w:rPr>
        <w:t> </w:t>
      </w:r>
      <w:r>
        <w:br w:type="page"/>
      </w:r>
    </w:p>
    <w:p>
      <w:pPr>
        <w:pStyle w:val="TextBody"/>
        <w:bidi w:val="0"/>
        <w:spacing w:before="0" w:after="0"/>
        <w:jc w:val="left"/>
        <w:rPr/>
      </w:pPr>
      <w:hyperlink w:anchor="slsn-10k_123125.htm">
        <w:r>
          <w:rPr>
            <w:rStyle w:val="InternetLink"/>
            <w:rFonts w:ascii="Times New Roman;Times;Serif" w:hAnsi="Times New Roman;Times;Serif"/>
            <w:b w:val="false"/>
            <w:i w:val="false"/>
            <w:caps w:val="false"/>
            <w:smallCaps w:val="false"/>
            <w:sz w:val="20"/>
          </w:rPr>
          <w:t>SOLÉSENCE, INC. 10-K</w:t>
        </w:r>
      </w:hyperlink>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32</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Certification Pursuant to 18 U.S.C. Section 1350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 Section 906 of the 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112" w:right="112"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this annual report of Solésence, Inc. (the “Company”) on Form 10-K for the year ending December 31, 2025 as filed with the Securities and Exchange Commission on the date hereof (the “Report”), I, Kevin Cureton, President and Chief Executive Officer of the Company, certify, pursuant to 18 U.S.C. § 1350, as adopted pursuant to Section 906 of the Sarbanes-Oxley Act of 2002, that, to my knowledge:</w:t>
      </w:r>
    </w:p>
    <w:p>
      <w:pPr>
        <w:pStyle w:val="TextBody"/>
        <w:bidi w:val="0"/>
        <w:spacing w:before="0" w:after="0"/>
        <w:ind w:left="112" w:right="112" w:firstLine="648"/>
        <w:jc w:val="both"/>
        <w:rPr>
          <w:caps w:val="false"/>
          <w:smallCaps w:val="false"/>
        </w:rPr>
      </w:pPr>
      <w:r>
        <w:rPr>
          <w:caps w:val="false"/>
          <w:smallCaps w:val="false"/>
        </w:rPr>
        <w:t> </w:t>
      </w:r>
    </w:p>
    <w:p>
      <w:pPr>
        <w:pStyle w:val="TextBody"/>
        <w:bidi w:val="0"/>
        <w:spacing w:before="0" w:after="0"/>
        <w:ind w:left="112" w:right="112"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Report fully complies with the requirements of section 13(a) or 15(d) of the Securities Exchange Act of 1934; and</w:t>
      </w:r>
    </w:p>
    <w:p>
      <w:pPr>
        <w:pStyle w:val="TextBody"/>
        <w:bidi w:val="0"/>
        <w:spacing w:before="0" w:after="0"/>
        <w:ind w:left="112" w:right="112" w:firstLine="648"/>
        <w:jc w:val="both"/>
        <w:rPr>
          <w:caps w:val="false"/>
          <w:smallCaps w:val="false"/>
        </w:rPr>
      </w:pPr>
      <w:r>
        <w:rPr>
          <w:caps w:val="false"/>
          <w:smallCaps w:val="false"/>
        </w:rPr>
        <w:t> </w:t>
      </w:r>
    </w:p>
    <w:p>
      <w:pPr>
        <w:pStyle w:val="TextBody"/>
        <w:bidi w:val="0"/>
        <w:spacing w:before="0" w:after="0"/>
        <w:ind w:left="112" w:right="112"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information contained in the Report fairly presents, in all material respects, the financial condition and result of operations of the Company.</w:t>
      </w:r>
    </w:p>
    <w:p>
      <w:pPr>
        <w:pStyle w:val="TextBody"/>
        <w:bidi w:val="0"/>
        <w:spacing w:before="0" w:after="0"/>
        <w:ind w:left="112" w:right="112" w:firstLine="648"/>
        <w:jc w:val="both"/>
        <w:rPr>
          <w:caps w:val="false"/>
          <w:smallCaps w:val="false"/>
        </w:rPr>
      </w:pPr>
      <w:r>
        <w:rPr>
          <w:caps w:val="false"/>
          <w:smallCaps w:val="false"/>
        </w:rPr>
        <w:t> </w:t>
      </w:r>
    </w:p>
    <w:tbl>
      <w:tblPr>
        <w:tblW w:w="4814" w:type="dxa"/>
        <w:jc w:val="left"/>
        <w:tblInd w:w="0" w:type="dxa"/>
        <w:tblLayout w:type="fixed"/>
        <w:tblCellMar>
          <w:top w:w="0" w:type="dxa"/>
          <w:left w:w="0" w:type="dxa"/>
          <w:bottom w:w="0" w:type="dxa"/>
          <w:right w:w="0" w:type="dxa"/>
        </w:tblCellMar>
      </w:tblPr>
      <w:tblGrid>
        <w:gridCol w:w="1805"/>
        <w:gridCol w:w="215"/>
        <w:gridCol w:w="2633"/>
        <w:gridCol w:w="161"/>
      </w:tblGrid>
      <w:tr>
        <w:trPr/>
        <w:tc>
          <w:tcPr>
            <w:tcW w:w="1805" w:type="dxa"/>
            <w:tcBorders/>
            <w:vAlign w:val="center"/>
          </w:tcPr>
          <w:p>
            <w:pPr>
              <w:pStyle w:val="TableContents"/>
              <w:bidi w:val="0"/>
              <w:spacing w:before="0" w:after="283"/>
              <w:jc w:val="left"/>
              <w:rPr>
                <w:sz w:val="20"/>
              </w:rPr>
            </w:pPr>
            <w:r>
              <w:rPr>
                <w:sz w:val="20"/>
              </w:rPr>
              <w:t>Date: March 31, 2026</w:t>
            </w:r>
          </w:p>
        </w:tc>
        <w:tc>
          <w:tcPr>
            <w:tcW w:w="215" w:type="dxa"/>
            <w:tcBorders/>
            <w:vAlign w:val="center"/>
          </w:tcPr>
          <w:p>
            <w:pPr>
              <w:pStyle w:val="TableContents"/>
              <w:bidi w:val="0"/>
              <w:spacing w:before="0" w:after="283"/>
              <w:jc w:val="left"/>
              <w:rPr/>
            </w:pPr>
            <w:r>
              <w:rPr/>
              <w:t> </w:t>
            </w:r>
          </w:p>
        </w:tc>
        <w:tc>
          <w:tcPr>
            <w:tcW w:w="2794" w:type="dxa"/>
            <w:gridSpan w:val="2"/>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2794" w:type="dxa"/>
            <w:gridSpan w:val="2"/>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pPr>
            <w:r>
              <w:rPr/>
              <w:t> </w:t>
            </w:r>
          </w:p>
        </w:tc>
        <w:tc>
          <w:tcPr>
            <w:tcW w:w="215" w:type="dxa"/>
            <w:tcBorders>
              <w:bottom w:val="single" w:sz="8" w:space="0" w:color="000000"/>
            </w:tcBorders>
            <w:tcMar>
              <w:bottom w:w="28" w:type="dxa"/>
            </w:tcMar>
            <w:vAlign w:val="center"/>
          </w:tcPr>
          <w:p>
            <w:pPr>
              <w:pStyle w:val="TableContents"/>
              <w:bidi w:val="0"/>
              <w:spacing w:before="0" w:after="283"/>
              <w:jc w:val="left"/>
              <w:rPr>
                <w:sz w:val="20"/>
              </w:rPr>
            </w:pPr>
            <w:r>
              <w:rPr>
                <w:sz w:val="20"/>
              </w:rPr>
              <w:t>/s/</w:t>
            </w:r>
          </w:p>
        </w:tc>
        <w:tc>
          <w:tcPr>
            <w:tcW w:w="2633" w:type="dxa"/>
            <w:tcBorders>
              <w:bottom w:val="single" w:sz="8" w:space="0" w:color="000000"/>
            </w:tcBorders>
            <w:tcMar>
              <w:bottom w:w="28" w:type="dxa"/>
            </w:tcMar>
            <w:vAlign w:val="center"/>
          </w:tcPr>
          <w:p>
            <w:pPr>
              <w:pStyle w:val="TableContents"/>
              <w:bidi w:val="0"/>
              <w:spacing w:before="0" w:after="283"/>
              <w:jc w:val="left"/>
              <w:rPr>
                <w:sz w:val="20"/>
              </w:rPr>
            </w:pPr>
            <w:r>
              <w:rPr>
                <w:sz w:val="20"/>
              </w:rPr>
              <w:t>Kevin Cureton</w:t>
            </w:r>
          </w:p>
        </w:tc>
        <w:tc>
          <w:tcPr>
            <w:tcW w:w="161" w:type="dxa"/>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2794" w:type="dxa"/>
            <w:gridSpan w:val="2"/>
            <w:tcBorders/>
            <w:vAlign w:val="center"/>
          </w:tcPr>
          <w:p>
            <w:pPr>
              <w:pStyle w:val="TableContents"/>
              <w:bidi w:val="0"/>
              <w:spacing w:before="0" w:after="283"/>
              <w:jc w:val="left"/>
              <w:rPr>
                <w:sz w:val="20"/>
              </w:rPr>
            </w:pPr>
            <w:r>
              <w:rPr>
                <w:sz w:val="20"/>
              </w:rPr>
              <w:t>Kevin Cureton</w:t>
            </w:r>
          </w:p>
        </w:tc>
      </w:tr>
      <w:tr>
        <w:trPr/>
        <w:tc>
          <w:tcPr>
            <w:tcW w:w="180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2794" w:type="dxa"/>
            <w:gridSpan w:val="2"/>
            <w:tcBorders/>
            <w:vAlign w:val="center"/>
          </w:tcPr>
          <w:p>
            <w:pPr>
              <w:pStyle w:val="TableContents"/>
              <w:bidi w:val="0"/>
              <w:spacing w:before="0" w:after="283"/>
              <w:jc w:val="left"/>
              <w:rPr>
                <w:sz w:val="20"/>
              </w:rPr>
            </w:pPr>
            <w:r>
              <w:rPr>
                <w:sz w:val="20"/>
              </w:rPr>
              <w:t>President, Chief Executive Officer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Certification Pursuant to 18 U.S.C. Section 1350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 Section 906 of the 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112" w:right="112"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this annual report of Solésence, Inc. (the “Company”) on Form 10-K for the year ending December 31, 2025 as filed with the Securities and Exchange Commission on the date hereof (the “Report”), I, Laura Riffner, Chief Financial Officer of the Company, certify, pursuant to 18 U.S.C. § 1350, as adopted pursuant to Section 906 of the Sarbanes-Oxley Act of 2002, that, to my knowledge:</w:t>
      </w:r>
    </w:p>
    <w:p>
      <w:pPr>
        <w:pStyle w:val="TextBody"/>
        <w:bidi w:val="0"/>
        <w:spacing w:before="0" w:after="0"/>
        <w:ind w:left="112" w:right="112" w:firstLine="648"/>
        <w:jc w:val="both"/>
        <w:rPr>
          <w:caps w:val="false"/>
          <w:smallCaps w:val="false"/>
        </w:rPr>
      </w:pPr>
      <w:r>
        <w:rPr>
          <w:caps w:val="false"/>
          <w:smallCaps w:val="false"/>
        </w:rPr>
        <w:t> </w:t>
      </w:r>
    </w:p>
    <w:p>
      <w:pPr>
        <w:pStyle w:val="TextBody"/>
        <w:bidi w:val="0"/>
        <w:spacing w:before="0" w:after="0"/>
        <w:ind w:left="112" w:right="112"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Report fully complies with the requirements of section 13(a) or 15(d) of the Securities Exchange Act of 1934; and</w:t>
      </w:r>
    </w:p>
    <w:p>
      <w:pPr>
        <w:pStyle w:val="TextBody"/>
        <w:bidi w:val="0"/>
        <w:spacing w:before="0" w:after="0"/>
        <w:ind w:left="112" w:right="112" w:firstLine="648"/>
        <w:jc w:val="both"/>
        <w:rPr>
          <w:caps w:val="false"/>
          <w:smallCaps w:val="false"/>
        </w:rPr>
      </w:pPr>
      <w:r>
        <w:rPr>
          <w:caps w:val="false"/>
          <w:smallCaps w:val="false"/>
        </w:rPr>
        <w:t> </w:t>
      </w:r>
    </w:p>
    <w:p>
      <w:pPr>
        <w:pStyle w:val="TextBody"/>
        <w:bidi w:val="0"/>
        <w:spacing w:before="0" w:after="0"/>
        <w:ind w:left="112" w:right="112"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information contained in the Report fairly presents, in all material respects, the financial condition and result of operations of the Company.</w:t>
      </w:r>
    </w:p>
    <w:p>
      <w:pPr>
        <w:pStyle w:val="TextBody"/>
        <w:bidi w:val="0"/>
        <w:spacing w:before="0" w:after="0"/>
        <w:ind w:left="112" w:right="112" w:firstLine="648"/>
        <w:jc w:val="both"/>
        <w:rPr>
          <w:caps w:val="false"/>
          <w:smallCaps w:val="false"/>
        </w:rPr>
      </w:pPr>
      <w:r>
        <w:rPr>
          <w:caps w:val="false"/>
          <w:smallCaps w:val="false"/>
        </w:rPr>
        <w:t> </w:t>
      </w:r>
    </w:p>
    <w:tbl>
      <w:tblPr>
        <w:tblW w:w="3914" w:type="dxa"/>
        <w:jc w:val="left"/>
        <w:tblInd w:w="0" w:type="dxa"/>
        <w:tblLayout w:type="fixed"/>
        <w:tblCellMar>
          <w:top w:w="0" w:type="dxa"/>
          <w:left w:w="0" w:type="dxa"/>
          <w:bottom w:w="0" w:type="dxa"/>
          <w:right w:w="0" w:type="dxa"/>
        </w:tblCellMar>
      </w:tblPr>
      <w:tblGrid>
        <w:gridCol w:w="1805"/>
        <w:gridCol w:w="215"/>
        <w:gridCol w:w="1774"/>
        <w:gridCol w:w="120"/>
      </w:tblGrid>
      <w:tr>
        <w:trPr/>
        <w:tc>
          <w:tcPr>
            <w:tcW w:w="1805" w:type="dxa"/>
            <w:tcBorders/>
            <w:vAlign w:val="center"/>
          </w:tcPr>
          <w:p>
            <w:pPr>
              <w:pStyle w:val="TableContents"/>
              <w:bidi w:val="0"/>
              <w:spacing w:before="0" w:after="283"/>
              <w:jc w:val="left"/>
              <w:rPr>
                <w:sz w:val="20"/>
              </w:rPr>
            </w:pPr>
            <w:r>
              <w:rPr>
                <w:sz w:val="20"/>
              </w:rPr>
              <w:t>Date: March 31, 2026</w:t>
            </w:r>
          </w:p>
        </w:tc>
        <w:tc>
          <w:tcPr>
            <w:tcW w:w="215" w:type="dxa"/>
            <w:tcBorders/>
            <w:vAlign w:val="center"/>
          </w:tcPr>
          <w:p>
            <w:pPr>
              <w:pStyle w:val="TableContents"/>
              <w:bidi w:val="0"/>
              <w:spacing w:before="0" w:after="283"/>
              <w:jc w:val="left"/>
              <w:rPr/>
            </w:pPr>
            <w:r>
              <w:rPr/>
              <w:t> </w:t>
            </w:r>
          </w:p>
        </w:tc>
        <w:tc>
          <w:tcPr>
            <w:tcW w:w="1894" w:type="dxa"/>
            <w:gridSpan w:val="2"/>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1894" w:type="dxa"/>
            <w:gridSpan w:val="2"/>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pPr>
            <w:r>
              <w:rPr/>
              <w:t> </w:t>
            </w:r>
          </w:p>
        </w:tc>
        <w:tc>
          <w:tcPr>
            <w:tcW w:w="215" w:type="dxa"/>
            <w:tcBorders>
              <w:bottom w:val="single" w:sz="8" w:space="0" w:color="000000"/>
            </w:tcBorders>
            <w:tcMar>
              <w:bottom w:w="28" w:type="dxa"/>
            </w:tcMar>
            <w:vAlign w:val="center"/>
          </w:tcPr>
          <w:p>
            <w:pPr>
              <w:pStyle w:val="TableContents"/>
              <w:bidi w:val="0"/>
              <w:spacing w:before="0" w:after="283"/>
              <w:jc w:val="left"/>
              <w:rPr>
                <w:sz w:val="20"/>
              </w:rPr>
            </w:pPr>
            <w:r>
              <w:rPr>
                <w:sz w:val="20"/>
              </w:rPr>
              <w:t>/s/</w:t>
            </w:r>
          </w:p>
        </w:tc>
        <w:tc>
          <w:tcPr>
            <w:tcW w:w="1774" w:type="dxa"/>
            <w:tcBorders>
              <w:bottom w:val="single" w:sz="8" w:space="0" w:color="000000"/>
            </w:tcBorders>
            <w:tcMar>
              <w:bottom w:w="28" w:type="dxa"/>
            </w:tcMar>
            <w:vAlign w:val="center"/>
          </w:tcPr>
          <w:p>
            <w:pPr>
              <w:pStyle w:val="TableContents"/>
              <w:bidi w:val="0"/>
              <w:spacing w:before="0" w:after="283"/>
              <w:jc w:val="left"/>
              <w:rPr>
                <w:sz w:val="20"/>
              </w:rPr>
            </w:pPr>
            <w:r>
              <w:rPr>
                <w:sz w:val="20"/>
              </w:rPr>
              <w:t>Laura Riffner</w:t>
            </w:r>
          </w:p>
        </w:tc>
        <w:tc>
          <w:tcPr>
            <w:tcW w:w="120" w:type="dxa"/>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1894" w:type="dxa"/>
            <w:gridSpan w:val="2"/>
            <w:tcBorders/>
            <w:vAlign w:val="center"/>
          </w:tcPr>
          <w:p>
            <w:pPr>
              <w:pStyle w:val="TableContents"/>
              <w:bidi w:val="0"/>
              <w:spacing w:before="0" w:after="283"/>
              <w:jc w:val="left"/>
              <w:rPr>
                <w:sz w:val="20"/>
              </w:rPr>
            </w:pPr>
            <w:r>
              <w:rPr>
                <w:sz w:val="20"/>
              </w:rPr>
              <w:t>Laura Riffner</w:t>
            </w:r>
          </w:p>
        </w:tc>
      </w:tr>
      <w:tr>
        <w:trPr/>
        <w:tc>
          <w:tcPr>
            <w:tcW w:w="180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1894" w:type="dxa"/>
            <w:gridSpan w:val="2"/>
            <w:tcBorders/>
            <w:vAlign w:val="center"/>
          </w:tcPr>
          <w:p>
            <w:pPr>
              <w:pStyle w:val="TableContents"/>
              <w:bidi w:val="0"/>
              <w:spacing w:before="0" w:after="283"/>
              <w:jc w:val="left"/>
              <w:rPr>
                <w:sz w:val="20"/>
              </w:rPr>
            </w:pPr>
            <w:r>
              <w:rPr>
                <w:sz w:val="20"/>
              </w:rPr>
              <w:t>Chief Financial Officer</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883107/0000950137-98-001318.txt" TargetMode="External"/><Relationship Id="rId3" Type="http://schemas.openxmlformats.org/officeDocument/2006/relationships/hyperlink" Target="http://www.sec.gov/Archives/edgar/data/883107/0000950137-98-001318.txt" TargetMode="External"/><Relationship Id="rId4" Type="http://schemas.openxmlformats.org/officeDocument/2006/relationships/hyperlink" Target="http://www.sec.gov/Archives/edgar/data/883107/000095013706008184/c07040exv99w1.htm" TargetMode="External"/><Relationship Id="rId5" Type="http://schemas.openxmlformats.org/officeDocument/2006/relationships/hyperlink" Target="http://www.sec.gov/Archives/edgar/data/883107/000119312510156263/ddef14a.htm" TargetMode="External"/><Relationship Id="rId6" Type="http://schemas.openxmlformats.org/officeDocument/2006/relationships/hyperlink" Target="http://www.sec.gov/Archives/edgar/data/883107/000119312516695341/d128490dex31.htm" TargetMode="External"/><Relationship Id="rId7" Type="http://schemas.openxmlformats.org/officeDocument/2006/relationships/hyperlink" Target="http://www.sec.gov/Archives/edgar/data/883107/000138713119008979/ex3-1.htm" TargetMode="External"/><Relationship Id="rId8" Type="http://schemas.openxmlformats.org/officeDocument/2006/relationships/hyperlink" Target="http://www.sec.gov/Archives/edgar/data/883107/000138713119008979/ex3-1.htm" TargetMode="External"/><Relationship Id="rId9" Type="http://schemas.openxmlformats.org/officeDocument/2006/relationships/hyperlink" Target="http://www.sec.gov/Archives/edgar/data/883107/000138713119008979/ex3-1.htm" TargetMode="External"/><Relationship Id="rId10" Type="http://schemas.openxmlformats.org/officeDocument/2006/relationships/hyperlink" Target="http://www.sec.gov/Archives/edgar/data/883107/000138713119008979/ex3-1.htm" TargetMode="External"/><Relationship Id="rId11" Type="http://schemas.openxmlformats.org/officeDocument/2006/relationships/hyperlink" Target="http://www.sec.gov/Archives/edgar/data/883107/000138713119008979/ex3-1.htm" TargetMode="External"/><Relationship Id="rId12" Type="http://schemas.openxmlformats.org/officeDocument/2006/relationships/hyperlink" Target="http://www.sec.gov/Archives/edgar/data/883107/0000950137-98-001318.txt" TargetMode="External"/><Relationship Id="rId13" Type="http://schemas.openxmlformats.org/officeDocument/2006/relationships/hyperlink" Target="http://www.sec.gov/Archives/edgar/data/883107/0000950124-97-005666.txt" TargetMode="External"/><Relationship Id="rId14" Type="http://schemas.openxmlformats.org/officeDocument/2006/relationships/hyperlink" Target="http://www.sec.gov/Archives/edgar/data/883107/0000950124-97-005025.txt" TargetMode="External"/><Relationship Id="rId15" Type="http://schemas.openxmlformats.org/officeDocument/2006/relationships/hyperlink" Target="http://www.sec.gov/Archives/edgar/data/883107/0000950137-99-000697.txt" TargetMode="External"/><Relationship Id="rId16" Type="http://schemas.openxmlformats.org/officeDocument/2006/relationships/hyperlink" Target="http://www.sec.gov/Archives/edgar/data/883107/000095013706009508/c08103exv99w1.htm" TargetMode="External"/><Relationship Id="rId17" Type="http://schemas.openxmlformats.org/officeDocument/2006/relationships/hyperlink" Target="http://www.sec.gov/Archives/edgar/data/883107/000095013706009508/c08103exv99w2.htm" TargetMode="External"/><Relationship Id="rId18" Type="http://schemas.openxmlformats.org/officeDocument/2006/relationships/hyperlink" Target="http://www.sec.gov/Archives/edgar/data/883107/000119312516457564/d132490dex41.htm" TargetMode="External"/><Relationship Id="rId19" Type="http://schemas.openxmlformats.org/officeDocument/2006/relationships/hyperlink" Target="http://www.sec.gov/Archives/edgar/data/883107/000138713117005930/ex4-1.htm" TargetMode="External"/><Relationship Id="rId20" Type="http://schemas.openxmlformats.org/officeDocument/2006/relationships/hyperlink" Target="http://www.sec.gov/Archives/edgar/data/883107/000138713119003693/ex4-1.htm" TargetMode="External"/><Relationship Id="rId21" Type="http://schemas.openxmlformats.org/officeDocument/2006/relationships/hyperlink" Target="http://www.sec.gov/Archives/edgar/data/883107/000138713119008754/ex4-1.htm" TargetMode="External"/><Relationship Id="rId22" Type="http://schemas.openxmlformats.org/officeDocument/2006/relationships/hyperlink" Target="http://www.sec.gov/Archives/edgar/data/883107/000138713119008754/ex4-2.htm" TargetMode="External"/><Relationship Id="rId23" Type="http://schemas.openxmlformats.org/officeDocument/2006/relationships/hyperlink" Target="http://www.sec.gov/Archives/edgar/data/883107/000199937124003109/ex3-1.htm" TargetMode="External"/><Relationship Id="rId24" Type="http://schemas.openxmlformats.org/officeDocument/2006/relationships/hyperlink" Target="http://www.sec.gov/Archives/edgar/data/883107/000119312505051229/dex1032.htm" TargetMode="External"/><Relationship Id="rId25" Type="http://schemas.openxmlformats.org/officeDocument/2006/relationships/hyperlink" Target="http://www.sec.gov/Archives/edgar/data/883107/000095013701000921/c60965ex10-23.txt" TargetMode="External"/><Relationship Id="rId26" Type="http://schemas.openxmlformats.org/officeDocument/2006/relationships/hyperlink" Target="http://www.sec.gov/Archives/edgar/data/883107/000119312505205040/dex991.htm" TargetMode="External"/><Relationship Id="rId27" Type="http://schemas.openxmlformats.org/officeDocument/2006/relationships/hyperlink" Target="http://www.sec.gov/Archives/edgar/data/883107/000119312515108088/d842536dex104.htm" TargetMode="External"/><Relationship Id="rId28" Type="http://schemas.openxmlformats.org/officeDocument/2006/relationships/hyperlink" Target="http://www.sec.gov/Archives/edgar/data/883107/000119312516741320/d267663dex101.htm" TargetMode="External"/><Relationship Id="rId29" Type="http://schemas.openxmlformats.org/officeDocument/2006/relationships/hyperlink" Target="http://www.sec.gov/Archives/edgar/data/883107/000119312512017484/d284617dex101.htm" TargetMode="External"/><Relationship Id="rId30" Type="http://schemas.openxmlformats.org/officeDocument/2006/relationships/hyperlink" Target="http://www.sec.gov/Archives/edgar/data/883107/000119312512149270/d329220dex101.htm" TargetMode="External"/><Relationship Id="rId31" Type="http://schemas.openxmlformats.org/officeDocument/2006/relationships/hyperlink" Target="http://www.sec.gov/Archives/edgar/data/883107/000119312512149270/d329220dex102.htm" TargetMode="External"/><Relationship Id="rId32" Type="http://schemas.openxmlformats.org/officeDocument/2006/relationships/hyperlink" Target="http://www.sec.gov/Archives/edgar/data/883107/0000950124-97-005666.txt" TargetMode="External"/><Relationship Id="rId33" Type="http://schemas.openxmlformats.org/officeDocument/2006/relationships/hyperlink" Target="http://www.sec.gov/Archives/edgar/data/883107/000095013700001466/0000950137-00-001466.txt" TargetMode="External"/><Relationship Id="rId34" Type="http://schemas.openxmlformats.org/officeDocument/2006/relationships/hyperlink" Target="http://www.sec.gov/Archives/edgar/data/883107/000095013701000921/c60965ex10-24.txt" TargetMode="External"/><Relationship Id="rId35" Type="http://schemas.openxmlformats.org/officeDocument/2006/relationships/hyperlink" Target="http://www.sec.gov/Archives/edgar/data/883107/000095013103001833/dex1026.txt" TargetMode="External"/><Relationship Id="rId36" Type="http://schemas.openxmlformats.org/officeDocument/2006/relationships/hyperlink" Target="http://www.sec.gov/Archives/edgar/data/883107/000119312512493208/d450148dex101.htm" TargetMode="External"/><Relationship Id="rId37" Type="http://schemas.openxmlformats.org/officeDocument/2006/relationships/hyperlink" Target="http://www.sec.gov/Archives/edgar/data/883107/000138713119003693/ex10-1.htm" TargetMode="External"/><Relationship Id="rId38" Type="http://schemas.openxmlformats.org/officeDocument/2006/relationships/hyperlink" Target="http://www.sec.gov/Archives/edgar/data/883107/000138713119003693/ex10-1.htm" TargetMode="External"/><Relationship Id="rId39" Type="http://schemas.openxmlformats.org/officeDocument/2006/relationships/hyperlink" Target="http://www.sec.gov/Archives/edgar/data/883107/000095013706007037/c06160exv99w1.htm" TargetMode="External"/><Relationship Id="rId40" Type="http://schemas.openxmlformats.org/officeDocument/2006/relationships/hyperlink" Target="http://www.sec.gov/Archives/edgar/data/883107/000095013706009508/c08103exv99w3.htm" TargetMode="External"/><Relationship Id="rId41" Type="http://schemas.openxmlformats.org/officeDocument/2006/relationships/hyperlink" Target="http://www.sec.gov/Archives/edgar/data/883107/000119312509063068/dex1056.htm" TargetMode="External"/><Relationship Id="rId42" Type="http://schemas.openxmlformats.org/officeDocument/2006/relationships/hyperlink" Target="http://www.sec.gov/Archives/edgar/data/883107/000119312505213135/dex991.htm" TargetMode="External"/><Relationship Id="rId43" Type="http://schemas.openxmlformats.org/officeDocument/2006/relationships/hyperlink" Target="http://www.sec.gov/Archives/edgar/data/883107/000119312506049696/dex991.htm" TargetMode="External"/><Relationship Id="rId44" Type="http://schemas.openxmlformats.org/officeDocument/2006/relationships/hyperlink" Target="http://www.sec.gov/Archives/edgar/data/883107/000119312514424621/d826939dex101.htm" TargetMode="External"/><Relationship Id="rId45" Type="http://schemas.openxmlformats.org/officeDocument/2006/relationships/hyperlink" Target="http://www.sec.gov/Archives/edgar/data/883107/000138713116008205/ex10-1.htm" TargetMode="External"/><Relationship Id="rId46" Type="http://schemas.openxmlformats.org/officeDocument/2006/relationships/hyperlink" Target="http://www.sec.gov/Archives/edgar/data/883107/000119312504053619/dex1029.htm" TargetMode="External"/><Relationship Id="rId47" Type="http://schemas.openxmlformats.org/officeDocument/2006/relationships/hyperlink" Target="http://www.sec.gov/Archives/edgar/data/883107/000119312508153656/dex991.htm" TargetMode="External"/><Relationship Id="rId48" Type="http://schemas.openxmlformats.org/officeDocument/2006/relationships/hyperlink" Target="http://www.sec.gov/Archives/edgar/data/883107/000119312510197018/dex101.htm" TargetMode="External"/><Relationship Id="rId49" Type="http://schemas.openxmlformats.org/officeDocument/2006/relationships/hyperlink" Target="http://www.sec.gov/Archives/edgar/data/883107/000119312516532340/d177601dex101.htm" TargetMode="External"/><Relationship Id="rId50" Type="http://schemas.openxmlformats.org/officeDocument/2006/relationships/hyperlink" Target="http://www.sec.gov/Archives/edgar/data/883107/000138713118002377/ex10-1.htm" TargetMode="External"/><Relationship Id="rId51" Type="http://schemas.openxmlformats.org/officeDocument/2006/relationships/hyperlink" Target="http://www.sec.gov/Archives/edgar/data/883107/000138713119005703/ex10-1.htm" TargetMode="External"/><Relationship Id="rId52" Type="http://schemas.openxmlformats.org/officeDocument/2006/relationships/hyperlink" Target="http://www.sec.gov/Archives/edgar/data/883107/000138713118002344/ex10-1.htm" TargetMode="External"/><Relationship Id="rId53" Type="http://schemas.openxmlformats.org/officeDocument/2006/relationships/hyperlink" Target="http://www.sec.gov/Archives/edgar/data/883107/000138713118002344/ex10-2.htm" TargetMode="External"/><Relationship Id="rId54" Type="http://schemas.openxmlformats.org/officeDocument/2006/relationships/hyperlink" Target="http://www.sec.gov/Archives/edgar/data/883107/000119312515085098/d889435dex102.htm" TargetMode="External"/><Relationship Id="rId55" Type="http://schemas.openxmlformats.org/officeDocument/2006/relationships/hyperlink" Target="http://www.sec.gov/Archives/edgar/data/883107/000119312515085098/d889435dex102.htm" TargetMode="External"/><Relationship Id="rId56" Type="http://schemas.openxmlformats.org/officeDocument/2006/relationships/hyperlink" Target="http://www.sec.gov/Archives/edgar/data/883107/000119312515085098/d889435dex103.htm" TargetMode="External"/><Relationship Id="rId57" Type="http://schemas.openxmlformats.org/officeDocument/2006/relationships/hyperlink" Target="http://www.sec.gov/Archives/edgar/data/883107/000119312516499319/d156543dex102.htm" TargetMode="External"/><Relationship Id="rId58" Type="http://schemas.openxmlformats.org/officeDocument/2006/relationships/hyperlink" Target="http://www.sec.gov/Archives/edgar/data/883107/000138713117001688/ex10-32.htm" TargetMode="External"/><Relationship Id="rId59" Type="http://schemas.openxmlformats.org/officeDocument/2006/relationships/hyperlink" Target="http://www.sec.gov/Archives/edgar/data/883107/000138713117001688/ex10-32.htm" TargetMode="External"/><Relationship Id="rId60" Type="http://schemas.openxmlformats.org/officeDocument/2006/relationships/hyperlink" Target="http://www.sec.gov/Archives/edgar/data/883107/000138713118001319/ex10-34.htm" TargetMode="External"/><Relationship Id="rId61" Type="http://schemas.openxmlformats.org/officeDocument/2006/relationships/hyperlink" Target="http://www.sec.gov/Archives/edgar/data/883107/000138713118001319/ex10-34.htm" TargetMode="External"/><Relationship Id="rId62" Type="http://schemas.openxmlformats.org/officeDocument/2006/relationships/hyperlink" Target="http://www.sec.gov/Archives/edgar/data/883107/000138713118001319/ex10-35.htm" TargetMode="External"/><Relationship Id="rId63" Type="http://schemas.openxmlformats.org/officeDocument/2006/relationships/hyperlink" Target="http://www.sec.gov/Archives/edgar/data/883107/000138713118001319/ex10-35.htm" TargetMode="External"/><Relationship Id="rId64" Type="http://schemas.openxmlformats.org/officeDocument/2006/relationships/hyperlink" Target="http://www.sec.gov/Archives/edgar/data/883107/000138713119002520/ex10-32.htm" TargetMode="External"/><Relationship Id="rId65" Type="http://schemas.openxmlformats.org/officeDocument/2006/relationships/hyperlink" Target="http://www.sec.gov/Archives/edgar/data/883107/000138713119002520/ex10-32.htm" TargetMode="External"/><Relationship Id="rId66" Type="http://schemas.openxmlformats.org/officeDocument/2006/relationships/hyperlink" Target="http://www.sec.gov/Archives/edgar/data/883107/000138713119002520/ex10-33.htm" TargetMode="External"/><Relationship Id="rId67" Type="http://schemas.openxmlformats.org/officeDocument/2006/relationships/hyperlink" Target="http://www.sec.gov/Archives/edgar/data/883107/000138713119002520/ex10-33.htm" TargetMode="External"/><Relationship Id="rId68" Type="http://schemas.openxmlformats.org/officeDocument/2006/relationships/hyperlink" Target="http://www.sec.gov/Archives/edgar/data/883107/000138713118006333/ex10-1.htm" TargetMode="External"/><Relationship Id="rId69" Type="http://schemas.openxmlformats.org/officeDocument/2006/relationships/hyperlink" Target="http://www.sec.gov/Archives/edgar/data/883107/000138713118006333/ex10-1.htm" TargetMode="External"/><Relationship Id="rId70" Type="http://schemas.openxmlformats.org/officeDocument/2006/relationships/hyperlink" Target="http://www.sec.gov/Archives/edgar/data/883107/000138713118006333/ex10-2.htm" TargetMode="External"/><Relationship Id="rId71" Type="http://schemas.openxmlformats.org/officeDocument/2006/relationships/hyperlink" Target="http://www.sec.gov/Archives/edgar/data/883107/000138713118006333/ex10-2.htm" TargetMode="External"/><Relationship Id="rId72" Type="http://schemas.openxmlformats.org/officeDocument/2006/relationships/hyperlink" Target="http://www.sec.gov/Archives/edgar/data/883107/000138713118006333/ex10-3.htm" TargetMode="External"/><Relationship Id="rId73" Type="http://schemas.openxmlformats.org/officeDocument/2006/relationships/hyperlink" Target="http://www.sec.gov/Archives/edgar/data/883107/000138713118006333/ex10-3.htm" TargetMode="External"/><Relationship Id="rId74" Type="http://schemas.openxmlformats.org/officeDocument/2006/relationships/hyperlink" Target="http://www.sec.gov/Archives/edgar/data/883107/000138713120003364/ex10-42.htm" TargetMode="External"/><Relationship Id="rId75" Type="http://schemas.openxmlformats.org/officeDocument/2006/relationships/hyperlink" Target="http://www.sec.gov/Archives/edgar/data/883107/000138713121004771/ex10-1.htm" TargetMode="External"/><Relationship Id="rId76" Type="http://schemas.openxmlformats.org/officeDocument/2006/relationships/hyperlink" Target="http://www.sec.gov/Archives/edgar/data/883107/000138713122001217/ex10-1.htm" TargetMode="External"/><Relationship Id="rId77" Type="http://schemas.openxmlformats.org/officeDocument/2006/relationships/hyperlink" Target="http://www.sec.gov/Archives/edgar/data/883107/000138713122001217/ex10-2.htm" TargetMode="External"/><Relationship Id="rId78" Type="http://schemas.openxmlformats.org/officeDocument/2006/relationships/hyperlink" Target="http://www.sec.gov/Archives/edgar/data/883107/000138713122001217/ex10-3.htm" TargetMode="External"/><Relationship Id="rId79" Type="http://schemas.openxmlformats.org/officeDocument/2006/relationships/hyperlink" Target="http://www.sec.gov/Archives/edgar/data/883107/000138713122001217/ex10-4.htm" TargetMode="External"/><Relationship Id="rId80" Type="http://schemas.openxmlformats.org/officeDocument/2006/relationships/hyperlink" Target="http://www.sec.gov/Archives/edgar/data/883107/000138713122001217/ex10-5.htm" TargetMode="External"/><Relationship Id="rId81" Type="http://schemas.openxmlformats.org/officeDocument/2006/relationships/hyperlink" Target="http://www.sec.gov/Archives/edgar/data/883107/000138713122001217/ex10-6.htm" TargetMode="External"/><Relationship Id="rId82" Type="http://schemas.openxmlformats.org/officeDocument/2006/relationships/hyperlink" Target="http://www.sec.gov/Archives/edgar/data/883107/000199937123000211/ex10-1.htm" TargetMode="External"/><Relationship Id="rId83" Type="http://schemas.openxmlformats.org/officeDocument/2006/relationships/hyperlink" Target="http://www.sec.gov/Archives/edgar/data/883107/000199937123000211/ex10-2.htm" TargetMode="External"/><Relationship Id="rId84" Type="http://schemas.openxmlformats.org/officeDocument/2006/relationships/hyperlink" Target="http://www.sec.gov/Archives/edgar/data/883107/000199937123000211/ex10-3.htm" TargetMode="External"/><Relationship Id="rId85" Type="http://schemas.openxmlformats.org/officeDocument/2006/relationships/hyperlink" Target="http://www.sec.gov/Archives/edgar/data/883107/000199937123000211/ex10-4.htm" TargetMode="External"/><Relationship Id="rId86" Type="http://schemas.openxmlformats.org/officeDocument/2006/relationships/hyperlink" Target="http://www.sec.gov/Archives/edgar/data/883107/000199937123000211/ex10-5.htm" TargetMode="External"/><Relationship Id="rId87" Type="http://schemas.openxmlformats.org/officeDocument/2006/relationships/hyperlink" Target="http://www.sec.gov/Archives/edgar/data/883107/000199937124003109/ex10-1.htm" TargetMode="External"/><Relationship Id="rId88" Type="http://schemas.openxmlformats.org/officeDocument/2006/relationships/hyperlink" Target="http://www.sec.gov/Archives/edgar/data/883107/000199937124003109/ex10-2.htm" TargetMode="External"/><Relationship Id="rId89" Type="http://schemas.openxmlformats.org/officeDocument/2006/relationships/hyperlink" Target="http://www.sec.gov/Archives/edgar/data/883107/000199937124003109/ex10-3.htm" TargetMode="External"/><Relationship Id="rId90" Type="http://schemas.openxmlformats.org/officeDocument/2006/relationships/hyperlink" Target="http://www.sec.gov/Archives/edgar/data/883107/000199937124003109/ex10-4.htm" TargetMode="External"/><Relationship Id="rId91" Type="http://schemas.openxmlformats.org/officeDocument/2006/relationships/hyperlink" Target="http://www.sec.gov/Archives/edgar/data/883107/000119312509172982/dex103.htm" TargetMode="External"/><Relationship Id="rId92" Type="http://schemas.openxmlformats.org/officeDocument/2006/relationships/hyperlink" Target="http://www.sec.gov/Archives/edgar/data/883107/000119312513133828/d444033dex1036.htm" TargetMode="External"/><Relationship Id="rId93" Type="http://schemas.openxmlformats.org/officeDocument/2006/relationships/hyperlink" Target="http://www.sec.gov/Archives/edgar/data/883107/000119312504165579/dex4.htm" TargetMode="External"/><Relationship Id="rId94" Type="http://schemas.openxmlformats.org/officeDocument/2006/relationships/hyperlink" Target="http://www.sec.gov/Archives/edgar/data/883107/000119312508158144/dex101.htm" TargetMode="External"/><Relationship Id="rId95" Type="http://schemas.openxmlformats.org/officeDocument/2006/relationships/hyperlink" Target="http://www.sec.gov/Archives/edgar/data/883107/000119312516695341/d128490dex101.htm" TargetMode="External"/><Relationship Id="rId96" Type="http://schemas.openxmlformats.org/officeDocument/2006/relationships/hyperlink" Target="http://www.sec.gov/Archives/edgar/data/883107/000119312514119638/d667758dex1047.htm" TargetMode="External"/><Relationship Id="rId97" Type="http://schemas.openxmlformats.org/officeDocument/2006/relationships/hyperlink" Target="http://www.sec.gov/Archives/edgar/data/883107/000138713119008979/ex10-1.htm" TargetMode="External"/><Relationship Id="rId98" Type="http://schemas.openxmlformats.org/officeDocument/2006/relationships/hyperlink" Target="http://www.sec.gov/Archives/edgar/data/883107/000138713117001688/ex10-50.htm" TargetMode="External"/><Relationship Id="rId99" Type="http://schemas.openxmlformats.org/officeDocument/2006/relationships/hyperlink" Target="http://www.sec.gov/Archives/edgar/data/883107/000138713117001688/ex10-50.htm" TargetMode="External"/><Relationship Id="rId100" Type="http://schemas.openxmlformats.org/officeDocument/2006/relationships/hyperlink" Target="http://www.sec.gov/Archives/edgar/data/883107/000138713117001688/ex10-51.htm" TargetMode="External"/><Relationship Id="rId101" Type="http://schemas.openxmlformats.org/officeDocument/2006/relationships/hyperlink" Target="http://www.sec.gov/Archives/edgar/data/883107/000138713117003519/ex10-1.htm" TargetMode="External"/><Relationship Id="rId102" Type="http://schemas.openxmlformats.org/officeDocument/2006/relationships/hyperlink" Target="http://www.sec.gov/Archives/edgar/data/883107/000138713117003519/ex10-3.htm" TargetMode="External"/><Relationship Id="rId103" Type="http://schemas.openxmlformats.org/officeDocument/2006/relationships/hyperlink" Target="http://www.sec.gov/Archives/edgar/data/883107/000138713117003519/ex10-3.htm" TargetMode="External"/><Relationship Id="rId104" Type="http://schemas.openxmlformats.org/officeDocument/2006/relationships/hyperlink" Target="http://www.sec.gov/Archives/edgar/data/883107/000138713117001688/ex10-51.htm" TargetMode="External"/><Relationship Id="rId105" Type="http://schemas.openxmlformats.org/officeDocument/2006/relationships/hyperlink" Target="https://www.sec.gov/Archives/edgar/data/883107/000199937125006971/ex10-1.htm" TargetMode="External"/><Relationship Id="rId106" Type="http://schemas.openxmlformats.org/officeDocument/2006/relationships/hyperlink" Target="https://www.sec.gov/Archives/edgar/data/883107/000199937125006971/ex10-2.htm" TargetMode="External"/><Relationship Id="rId107" Type="http://schemas.openxmlformats.org/officeDocument/2006/relationships/hyperlink" Target="https://www.sec.gov/Archives/edgar/data/883107/000199937125006971/ex10-3.htm" TargetMode="External"/><Relationship Id="rId108" Type="http://schemas.openxmlformats.org/officeDocument/2006/relationships/hyperlink" Target="https://www.sec.gov/Archives/edgar/data/883107/000199937125012518/ex10-1.htm" TargetMode="External"/><Relationship Id="rId109" Type="http://schemas.openxmlformats.org/officeDocument/2006/relationships/hyperlink" Target="https://www.sec.gov/Archives/edgar/data/883107/000199937125012518/ex10-2.htm" TargetMode="External"/><Relationship Id="rId110" Type="http://schemas.openxmlformats.org/officeDocument/2006/relationships/hyperlink" Target="https://www.sec.gov/Archives/edgar/data/883107/000199937125012518/ex10-3.htm" TargetMode="External"/><Relationship Id="rId111" Type="http://schemas.openxmlformats.org/officeDocument/2006/relationships/hyperlink" Target="https://www.sec.gov/Archives/edgar/data/883107/000199937125010280/slsn-def14a_082825.htm" TargetMode="External"/><Relationship Id="rId112" Type="http://schemas.openxmlformats.org/officeDocument/2006/relationships/hyperlink" Target="http://www.sec.gov/Archives/edgar/data/883107/000199937125003471/ex19.htm" TargetMode="External"/><Relationship Id="rId113" Type="http://schemas.openxmlformats.org/officeDocument/2006/relationships/fontTable" Target="fontTable.xml"/><Relationship Id="rId1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31905</Words>
  <Characters>175833</Characters>
  <CharactersWithSpaces>209736</CharactersWithSpaces>
  <Paragraphs>6409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