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ind w:left="3380" w:right="2300" w:hanging="1131"/>
        <w:spacing w:after="0" w:line="262" w:lineRule="auto"/>
        <w:tabs>
          <w:tab w:leader="none" w:pos="24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2026</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4"/>
          <w:szCs w:val="24"/>
          <w:color w:val="auto"/>
        </w:rPr>
      </w:pPr>
    </w:p>
    <w:p>
      <w:pPr>
        <w:ind w:left="3380" w:right="2280" w:hanging="1137"/>
        <w:spacing w:after="0" w:line="245" w:lineRule="auto"/>
        <w:tabs>
          <w:tab w:leader="none" w:pos="247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001-42589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Solésence,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36-3687863</w:t>
      </w:r>
    </w:p>
    <w:p>
      <w:pPr>
        <w:spacing w:after="0" w:line="3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040" w:space="720"/>
            <w:col w:w="3480"/>
          </w:cols>
          <w:pgMar w:left="320" w:top="772" w:right="339" w:bottom="1440" w:gutter="0" w:footer="0" w:header="0"/>
          <w:type w:val="continuous"/>
        </w:sectPr>
      </w:pPr>
    </w:p>
    <w:p>
      <w:pPr>
        <w:spacing w:after="0" w:line="1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1319 Marquette Drive, Romeoville, Illinois 60446</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ectPr>
          <w:pgSz w:w="11900" w:h="16838" w:orient="portrait"/>
          <w:cols w:equalWidth="0" w:num="1">
            <w:col w:w="11240"/>
          </w:cols>
          <w:pgMar w:left="320" w:top="772" w:right="339" w:bottom="1440" w:gutter="0" w:footer="0" w:header="0"/>
          <w:type w:val="continuous"/>
        </w:sectPr>
      </w:pPr>
    </w:p>
    <w:p>
      <w:pPr>
        <w:spacing w:after="0" w:line="21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(630) 771-6708</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SLSN</w:t>
            </w:r>
          </w:p>
        </w:tc>
        <w:tc>
          <w:tcPr>
            <w:tcW w:w="10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772" w:right="339" w:bottom="1440" w:gutter="0" w:footer="0" w:header="0"/>
          <w:type w:val="continuous"/>
        </w:sectPr>
      </w:pPr>
    </w:p>
    <w:p>
      <w:pPr>
        <w:spacing w:after="0" w:line="135" w:lineRule="exact"/>
        <w:rPr>
          <w:sz w:val="24"/>
          <w:szCs w:val="24"/>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80" w:space="720"/>
            <w:col w:w="5340"/>
          </w:cols>
          <w:pgMar w:left="320" w:top="772" w:right="339" w:bottom="1440" w:gutter="0" w:footer="0" w:header="0"/>
          <w:type w:val="continuous"/>
        </w:sectPr>
      </w:pPr>
    </w:p>
    <w:p>
      <w:pPr>
        <w:spacing w:after="0" w:line="37" w:lineRule="exact"/>
        <w:rPr>
          <w:sz w:val="24"/>
          <w:szCs w:val="24"/>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80" w:space="720"/>
            <w:col w:w="5340"/>
          </w:cols>
          <w:pgMar w:left="320" w:top="772" w:right="339" w:bottom="1440" w:gutter="0" w:footer="0" w:header="0"/>
          <w:type w:val="continuous"/>
        </w:sectPr>
      </w:pPr>
    </w:p>
    <w:p>
      <w:pPr>
        <w:spacing w:after="0" w:line="37" w:lineRule="exact"/>
        <w:rPr>
          <w:sz w:val="24"/>
          <w:szCs w:val="24"/>
          <w:color w:val="auto"/>
        </w:rPr>
      </w:pPr>
    </w:p>
    <w:p>
      <w:pPr>
        <w:ind w:left="59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772" w:right="339" w:bottom="1440" w:gutter="0" w:footer="0" w:header="0"/>
          <w:type w:val="continuous"/>
        </w:sectPr>
      </w:pPr>
    </w:p>
    <w:p>
      <w:pPr>
        <w:spacing w:after="0" w:line="277"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12, 2026, there were 70,632,445 shares outstanding of common stock, par value $.01,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80" w:type="dxa"/>
            <w:vAlign w:val="bottom"/>
            <w:gridSpan w:val="8"/>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SOLÉSENCE, INC.</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80" w:type="dxa"/>
            <w:vAlign w:val="bottom"/>
            <w:gridSpan w:val="8"/>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QUARTER ENDED MARCH 31, 2026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760" w:type="dxa"/>
            <w:vAlign w:val="bottom"/>
            <w:gridSpan w:val="7"/>
          </w:tcPr>
          <w:p>
            <w:pPr>
              <w:jc w:val="center"/>
              <w:ind w:right="45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8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w w:val="98"/>
              </w:rPr>
              <w:t>PART I – FINANCIAL INFORMATION</w:t>
            </w:r>
          </w:p>
        </w:tc>
        <w:tc>
          <w:tcPr>
            <w:tcW w:w="7820" w:type="dxa"/>
            <w:vAlign w:val="bottom"/>
            <w:gridSpan w:val="9"/>
            <w:vMerge w:val="restart"/>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EE"/>
            </w:tcBorders>
            <w:gridSpan w:val="15"/>
            <w:vMerge w:val="continue"/>
          </w:tcPr>
          <w:p>
            <w:pPr>
              <w:spacing w:after="0"/>
              <w:rPr>
                <w:sz w:val="14"/>
                <w:szCs w:val="14"/>
                <w:color w:val="auto"/>
              </w:rPr>
            </w:pPr>
          </w:p>
        </w:tc>
        <w:tc>
          <w:tcPr>
            <w:tcW w:w="7820" w:type="dxa"/>
            <w:vAlign w:val="bottom"/>
            <w:gridSpan w:val="9"/>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(Unaudited Consolidated Condensed) as of March 31, 2026, and December 31, 2025</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(Unaudited Consolidated Condensed) for the three months ended March 31, 2026, and 2025</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Shareholders’ Equity (Unaudited Consolidated Condensed) for the three months ended March 31, 2026, and</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(Unaudited Consolidated Condensed) for three months ended March 31, 2026, and 2025</w:t>
            </w:r>
          </w:p>
        </w:tc>
        <w:tc>
          <w:tcPr>
            <w:tcW w:w="82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Consolidated Condensed Financial Statements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760" w:type="dxa"/>
            <w:vAlign w:val="bottom"/>
            <w:tcBorders>
              <w:left w:val="single" w:sz="8" w:color="0000EE"/>
            </w:tcBorders>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14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1A.</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7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834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78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50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588"/>
        </w:trPr>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44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SOLÉSENCE, INC.</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(Unaudited Consolidated Condensed)</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6"/>
                <w:szCs w:val="16"/>
                <w:color w:val="auto"/>
              </w:rPr>
            </w:pPr>
          </w:p>
        </w:tc>
        <w:tc>
          <w:tcPr>
            <w:tcW w:w="124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thousands except share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40" w:type="dxa"/>
            <w:vAlign w:val="bottom"/>
            <w:vMerge w:val="restart"/>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0"/>
                <w:szCs w:val="20"/>
                <w:color w:val="auto"/>
              </w:rPr>
            </w:pPr>
          </w:p>
        </w:tc>
        <w:tc>
          <w:tcPr>
            <w:tcW w:w="266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0" w:type="dxa"/>
            <w:vAlign w:val="bottom"/>
          </w:tcPr>
          <w:p>
            <w:pPr>
              <w:spacing w:after="0"/>
              <w:rPr>
                <w:sz w:val="1"/>
                <w:szCs w:val="1"/>
                <w:color w:val="auto"/>
              </w:rPr>
            </w:pPr>
          </w:p>
        </w:tc>
      </w:tr>
      <w:tr>
        <w:trPr>
          <w:trHeight w:val="194"/>
        </w:trPr>
        <w:tc>
          <w:tcPr>
            <w:tcW w:w="8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573</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18,511</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26,413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and leasehold improvements,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14,329</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 right of use</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2"/>
              </w:rPr>
              <w:t>47,794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22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of credit – accounts receivable, related party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12,691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7,798</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line of credit – inventory, related party</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related party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18,136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24,088 shares authorized, and no shares issued and outstanding</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95,000,000 shares authorized; 70,632,445 and 70,614,045 shares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on March 31, 2026 and December 31, 2025, respectively</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115,665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115,566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(99,404)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(98,638)</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2"/>
              </w:rPr>
              <w:t>16,967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47,794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Consolidated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22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SOLÉSENCE, INC.</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2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22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(Unaudited Consolidated Condensed)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except share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12,919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14,575</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11,243</w:t>
            </w:r>
          </w:p>
        </w:tc>
        <w:tc>
          <w:tcPr>
            <w:tcW w:w="0" w:type="dxa"/>
            <w:vAlign w:val="bottom"/>
          </w:tcPr>
          <w:p>
            <w:pPr>
              <w:spacing w:after="0"/>
              <w:rPr>
                <w:sz w:val="1"/>
                <w:szCs w:val="1"/>
                <w:color w:val="auto"/>
              </w:rPr>
            </w:pPr>
          </w:p>
        </w:tc>
      </w:tr>
      <w:tr>
        <w:trPr>
          <w:trHeight w:val="209"/>
        </w:trPr>
        <w:tc>
          <w:tcPr>
            <w:tcW w:w="82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09"/>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provision for income taxes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share-basic</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basic common shares outstanding</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70,625,494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70,103,279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share-diluted</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diluted common shares outstanding</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70,625,494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72,632,116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jc w:val="center"/>
              <w:ind w:left="2890"/>
              <w:spacing w:after="0"/>
              <w:rPr>
                <w:sz w:val="20"/>
                <w:szCs w:val="20"/>
                <w:color w:val="auto"/>
              </w:rPr>
            </w:pPr>
            <w:r>
              <w:rPr>
                <w:rFonts w:ascii="Times New Roman" w:cs="Times New Roman" w:eastAsia="Times New Roman" w:hAnsi="Times New Roman"/>
                <w:sz w:val="18"/>
                <w:szCs w:val="18"/>
                <w:b w:val="1"/>
                <w:bCs w:val="1"/>
                <w:i w:val="1"/>
                <w:iCs w:val="1"/>
                <w:color w:val="auto"/>
                <w:w w:val="99"/>
              </w:rPr>
              <w:t>(See accompanying Notes to Consolidated Financial Statements)</w:t>
            </w: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220" w:type="dxa"/>
            <w:vAlign w:val="bottom"/>
            <w:tcBorders>
              <w:bottom w:val="single" w:sz="8" w:color="auto"/>
            </w:tcBorders>
          </w:tcPr>
          <w:p>
            <w:pPr>
              <w:jc w:val="center"/>
              <w:ind w:left="2930"/>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SOLÉSENCE,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(Unaudited Consolidated Condensed)</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220" w:type="dxa"/>
            <w:vAlign w:val="bottom"/>
            <w:gridSpan w:val="5"/>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222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34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on December 31, 2024</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70,103,279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and stock option exercises</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Borders>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income for the three months ended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on March 31, 2025</w:t>
            </w:r>
          </w:p>
        </w:tc>
        <w:tc>
          <w:tcPr>
            <w:tcW w:w="1020" w:type="dxa"/>
            <w:vAlign w:val="bottom"/>
            <w:tcBorders>
              <w:top w:val="single" w:sz="8" w:color="auto"/>
              <w:bottom w:val="single" w:sz="8" w:color="auto"/>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70,103,279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on December 31, 2025</w:t>
            </w:r>
          </w:p>
        </w:tc>
        <w:tc>
          <w:tcPr>
            <w:tcW w:w="1020" w:type="dxa"/>
            <w:vAlign w:val="bottom"/>
            <w:tcBorders>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70,614,045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115,566</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(98,638)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and stock option exercises</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Borders>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for the three months ended March</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31, 2026</w:t>
            </w:r>
          </w:p>
        </w:tc>
        <w:tc>
          <w:tcPr>
            <w:tcW w:w="120" w:type="dxa"/>
            <w:vAlign w:val="bottom"/>
          </w:tcPr>
          <w:p>
            <w:pPr>
              <w:spacing w:after="0"/>
              <w:rPr>
                <w:sz w:val="21"/>
                <w:szCs w:val="21"/>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on March 31, 2026</w:t>
            </w:r>
          </w:p>
        </w:tc>
        <w:tc>
          <w:tcPr>
            <w:tcW w:w="1020" w:type="dxa"/>
            <w:vAlign w:val="bottom"/>
            <w:tcBorders>
              <w:right w:val="single" w:sz="8" w:color="CCEEFF"/>
            </w:tcBorders>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70,632,445</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115,665</w:t>
            </w:r>
          </w:p>
        </w:tc>
        <w:tc>
          <w:tcPr>
            <w:tcW w:w="2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16,967</w:t>
            </w:r>
          </w:p>
        </w:tc>
        <w:tc>
          <w:tcPr>
            <w:tcW w:w="0" w:type="dxa"/>
            <w:vAlign w:val="bottom"/>
          </w:tcPr>
          <w:p>
            <w:pPr>
              <w:spacing w:after="0"/>
              <w:rPr>
                <w:sz w:val="1"/>
                <w:szCs w:val="1"/>
                <w:color w:val="auto"/>
              </w:rPr>
            </w:pPr>
          </w:p>
        </w:tc>
      </w:tr>
      <w:tr>
        <w:trPr>
          <w:trHeight w:val="68"/>
        </w:trPr>
        <w:tc>
          <w:tcPr>
            <w:tcW w:w="3400" w:type="dxa"/>
            <w:vAlign w:val="bottom"/>
            <w:gridSpan w:val="2"/>
            <w:vMerge w:val="continue"/>
            <w:shd w:val="clear" w:color="auto" w:fill="CCEEFF"/>
          </w:tcPr>
          <w:p>
            <w:pPr>
              <w:spacing w:after="0"/>
              <w:rPr>
                <w:sz w:val="5"/>
                <w:szCs w:val="5"/>
                <w:color w:val="auto"/>
              </w:rPr>
            </w:pPr>
          </w:p>
        </w:tc>
        <w:tc>
          <w:tcPr>
            <w:tcW w:w="102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96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06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(99,404</w:t>
            </w:r>
          </w:p>
        </w:tc>
        <w:tc>
          <w:tcPr>
            <w:tcW w:w="180" w:type="dxa"/>
            <w:vAlign w:val="bottom"/>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Consolidated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08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SOLÉSENCE, INC.</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8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8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(Unaudited Consolidated Condensed)</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0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(766)</w:t>
            </w: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income to cash provided by (used in) operating activities: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 related to operations: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right of use asset and lease liability, net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equipment and leasehold improvements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 - inventory, related party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line of credit – accounts receivable, related party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6,292</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payments to line of credit – accounts receivable, related party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(1,720)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stock and exercise of stock options</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cash</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23"/>
        </w:trPr>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80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incurred for the purchase of equipment and leasehold improvements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200</w:t>
            </w: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a lease liability</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Consolidated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SOLÉSENCE,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Condensed)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 or as otherwise noted herein)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condensed interim financial statements of Solésence, Inc. (“Solésence”, “Company”, “we”, “our”, or “us”) reflect all adjustments (consisting of normal recurring adjustments) which, in the opinion of management, are necessary for a fair statement of our financial position and operating results for the interim periods presented. All statements include the results from both Solésence, Inc. and our wholly-owned subsidiary, Solésence, LLC. Operating results for the three months ended March 31, 2026, are not necessarily indicative of the results that may be expected for the year ending December 31,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our audited financial statements and notes thereto for the year ended December 31, 2025, included in the Company’s Annual Report on Form 10-K for the year ended December 31, 2025, as filed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Description of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Solésence, Inc. (“Solésence”, “Company”, “we”, “our”, or “us”) is a science-driven company which, along with its wholly owned subsidiary, Solésence, LLC (our “Solésence beauty science subsidiary”), is focused in various beauty- and life-science markets.  Using consumer health as our end-goal and science and innovation to guide the path, skin health and medical diagnostics combined currently make up the majority of our business and drive our forward growth strategy.  We offer engineered materials, formulation development and commercial manufacturing through an integrated family of technologies. Our expertise in materials engineering allows us to effectively coat and disperse particles on a nano and “non-nano” scale for use in a variety of skin health markets, including for use in sunscreens as active ingredients and as fully developed prestige skin care and cosmetics products, marketed and sold through our Solésence beauty science subsidiary.  In terms of our life sciences focus, we have seen demand decrease for our medical diagnostics ingredients. Additionally, we continue to sell products in legacy markets, including architectural coatings, industrial coating applications, abrasion-resistant additives, plastics additives, and surface finishing technologies (polishing) applications, all of which, along with medical diagnostics, fall into the advanced materials product category.</w:t>
      </w:r>
    </w:p>
    <w:p>
      <w:pPr>
        <w:spacing w:after="0" w:line="194" w:lineRule="exact"/>
        <w:rPr>
          <w:sz w:val="20"/>
          <w:szCs w:val="20"/>
          <w:color w:val="auto"/>
        </w:rPr>
      </w:pPr>
    </w:p>
    <w:p>
      <w:pPr>
        <w:jc w:val="both"/>
        <w:ind w:firstLine="700"/>
        <w:spacing w:after="0" w:line="261" w:lineRule="auto"/>
        <w:rPr>
          <w:sz w:val="20"/>
          <w:szCs w:val="20"/>
          <w:color w:val="auto"/>
        </w:rPr>
      </w:pPr>
      <w:r>
        <w:rPr>
          <w:rFonts w:ascii="Times New Roman" w:cs="Times New Roman" w:eastAsia="Times New Roman" w:hAnsi="Times New Roman"/>
          <w:sz w:val="18"/>
          <w:szCs w:val="18"/>
          <w:color w:val="auto"/>
        </w:rPr>
        <w:t>We target markets primarily related to skin health products and ingredients, as well as diagnostic life sciences ingredients where we believe our materials and products offer practical and competitive minerals-based solutions. We traditionally work closely with current customers in these target markets to identify their material and performance requirements. We market our materials to various end-use applications manufacturers, and our Solésence® products to cosmetics and skin care brands.</w:t>
      </w:r>
    </w:p>
    <w:p>
      <w:pPr>
        <w:spacing w:after="0" w:line="180" w:lineRule="exact"/>
        <w:rPr>
          <w:sz w:val="20"/>
          <w:szCs w:val="20"/>
          <w:color w:val="auto"/>
        </w:rPr>
      </w:pPr>
    </w:p>
    <w:p>
      <w:pPr>
        <w:jc w:val="both"/>
        <w:ind w:firstLine="707"/>
        <w:spacing w:after="0" w:line="254" w:lineRule="auto"/>
        <w:rPr>
          <w:sz w:val="20"/>
          <w:szCs w:val="20"/>
          <w:color w:val="auto"/>
        </w:rPr>
      </w:pPr>
      <w:r>
        <w:rPr>
          <w:rFonts w:ascii="Times New Roman" w:cs="Times New Roman" w:eastAsia="Times New Roman" w:hAnsi="Times New Roman"/>
          <w:sz w:val="18"/>
          <w:szCs w:val="18"/>
          <w:color w:val="auto"/>
        </w:rPr>
        <w:t>Recently developed technologies have made certain new products possible and opened potential new markets. During 2015 we were granted a patent on a new type of particle surface treatment (coating) — now called Active Stress Defense ™ Technology — which became the cornerstone of our new product development in personal care, with first revenue recognized during 2016. Active Stress Defense™ now refers to a suite of three proprietary technologies — Original Active Stress Defense™, Kleair™, and Bloom™ — all three of which either utilize a unique and proprietary, mineral-based technology or work synergistically with one of our unique and proprietary, mineral-based technologies to improve performance and/or aesthetics. Our ongoing innovation efforts include new IP in areas that advance environmental protection, align with market needs, and complement our existing technologies. Through the creation of our Solésence beauty science subsidiary, we utilize our technology suite to manufacture and sell fully developed solutions to targeted customers in the skin care industry, typically in prestige skin care and cosmetics markets, in addition to the ingredients we have traditionally sold in the personal care area.</w:t>
      </w:r>
    </w:p>
    <w:p>
      <w:pPr>
        <w:spacing w:after="0" w:line="188" w:lineRule="exact"/>
        <w:rPr>
          <w:sz w:val="20"/>
          <w:szCs w:val="20"/>
          <w:color w:val="auto"/>
        </w:rPr>
      </w:pPr>
    </w:p>
    <w:p>
      <w:pPr>
        <w:jc w:val="both"/>
        <w:ind w:firstLine="706"/>
        <w:spacing w:after="0" w:line="266" w:lineRule="auto"/>
        <w:rPr>
          <w:sz w:val="20"/>
          <w:szCs w:val="20"/>
          <w:color w:val="auto"/>
        </w:rPr>
      </w:pPr>
      <w:r>
        <w:rPr>
          <w:rFonts w:ascii="Times New Roman" w:cs="Times New Roman" w:eastAsia="Times New Roman" w:hAnsi="Times New Roman"/>
          <w:sz w:val="18"/>
          <w:szCs w:val="18"/>
          <w:color w:val="auto"/>
        </w:rPr>
        <w:t>Although our primary strategic focus has been the North American market, we currently sell materials to customers overseas and have been working to expand our reach within foreign markets. On April 8, 2025, the Company’s securities were uplisted to Nasdaq trading under the symbol SLSN. Prior to listing on Nasdaq our common stock traded on the OTCQB marketplace under the symbol NANX.</w:t>
      </w:r>
    </w:p>
    <w:p>
      <w:pPr>
        <w:spacing w:after="0" w:line="176" w:lineRule="exact"/>
        <w:rPr>
          <w:sz w:val="20"/>
          <w:szCs w:val="20"/>
          <w:color w:val="auto"/>
        </w:rPr>
      </w:pPr>
    </w:p>
    <w:p>
      <w:pPr>
        <w:jc w:val="both"/>
        <w:ind w:firstLine="699"/>
        <w:spacing w:after="0" w:line="266" w:lineRule="auto"/>
        <w:rPr>
          <w:sz w:val="20"/>
          <w:szCs w:val="20"/>
          <w:color w:val="auto"/>
        </w:rPr>
      </w:pPr>
      <w:r>
        <w:rPr>
          <w:rFonts w:ascii="Times New Roman" w:cs="Times New Roman" w:eastAsia="Times New Roman" w:hAnsi="Times New Roman"/>
          <w:sz w:val="18"/>
          <w:szCs w:val="18"/>
          <w:color w:val="auto"/>
        </w:rPr>
        <w:t>While product sales comprise the majority of our revenue, we also recognize revenue from other sources from time to time. These activities are not expected to drive the long-term growth of the business. For this reason, we classify such revenue as “other revenue” in our Consolidated Statements of Operations, as it does not represent revenue directly from the sale of our products.</w:t>
      </w:r>
    </w:p>
    <w:p>
      <w:pPr>
        <w:spacing w:after="0" w:line="176" w:lineRule="exact"/>
        <w:rPr>
          <w:sz w:val="20"/>
          <w:szCs w:val="20"/>
          <w:color w:val="auto"/>
        </w:rPr>
      </w:pPr>
    </w:p>
    <w:p>
      <w:pPr>
        <w:jc w:val="both"/>
        <w:ind w:firstLine="700"/>
        <w:spacing w:after="0" w:line="261" w:lineRule="auto"/>
        <w:rPr>
          <w:sz w:val="20"/>
          <w:szCs w:val="20"/>
          <w:color w:val="auto"/>
        </w:rPr>
      </w:pPr>
      <w:r>
        <w:rPr>
          <w:rFonts w:ascii="Times New Roman" w:cs="Times New Roman" w:eastAsia="Times New Roman" w:hAnsi="Times New Roman"/>
          <w:sz w:val="18"/>
          <w:szCs w:val="18"/>
          <w:color w:val="auto"/>
        </w:rPr>
        <w:t>Under SEC Release 33-10513; 34-83550, Amendments to Smaller Reporting Company Definition, the Company qualifies as a smaller reporting company and accordingly, it has scaled some of its disclosures of financial and non-financial information in this quarterly report. The Company will continue to determine whether to provide additional scaled disclosures of financial or non-financial information in future quarterly reports, annual reports and/or proxy statements if it remains a smaller reporting company under SEC rules.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Revenues and Other Income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is transferred to customers, in an amount that reflects the consideration we expect to receive in exchange for those goods. When our ingredients and finished products are shipped, with control being transferred at the shipping point, this is the point in time at which we recognize the related revenue.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both"/>
        <w:ind w:firstLine="715"/>
        <w:spacing w:after="0" w:line="258" w:lineRule="auto"/>
        <w:rPr>
          <w:sz w:val="20"/>
          <w:szCs w:val="20"/>
          <w:color w:val="auto"/>
        </w:rPr>
      </w:pPr>
      <w:r>
        <w:rPr>
          <w:rFonts w:ascii="Times New Roman" w:cs="Times New Roman" w:eastAsia="Times New Roman" w:hAnsi="Times New Roman"/>
          <w:sz w:val="18"/>
          <w:szCs w:val="18"/>
          <w:color w:val="auto"/>
        </w:rPr>
        <w:t>We generally expense sales commissions when incurred because the amortization period would have been one year or less. These costs are recorded within selling, general and administrative expenses. Customers’ deposits, deferred revenue and other receipts are deferred and recognized when the revenue is realized and earned. Cash payments to customers are classified as reductions of revenue in our statements of operations. For select customers the Company may pay volume rebates which are variable in nature due to the amount the select customer will take. During the three months ended March 31, 2026, customers earned a volume rebate of $14,000. For the year ended December 31, 2025, one customer earned a volume rebate of $95,000.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Contract balances at March 31, 2026, December 31, 2025, and 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w:t>
            </w:r>
          </w:p>
        </w:tc>
      </w:tr>
      <w:tr>
        <w:trPr>
          <w:trHeight w:val="238"/>
        </w:trPr>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3"/>
              </w:rPr>
              <w:t>5,655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220" w:type="dxa"/>
            <w:vAlign w:val="bottom"/>
          </w:tcPr>
          <w:p>
            <w:pPr>
              <w:spacing w:after="0"/>
              <w:rPr>
                <w:sz w:val="18"/>
                <w:szCs w:val="18"/>
                <w:color w:val="auto"/>
              </w:rPr>
            </w:pPr>
          </w:p>
        </w:tc>
        <w:tc>
          <w:tcPr>
            <w:tcW w:w="14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7,642</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7,246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recognized in the reporting period that was included in the contract liability balance at the beginning of the period was $324 and $2,891 for the three months ended March 31, 2026 and 2025,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sales process, it is common for the Company to receive customer deposits. These deposits are typically held for less than a year and do not result in a financing component to the sales. The customer deposits are recognized as revenue when the Company ships the finished goods to the customer. Revenue is recognized when the goods are shipped.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for some customers arrange for the shipping of the finished goods. Revenues and costs associated with the shipment of the finished goods are recorded separately within product revenue and cost of revenue, respectively, on the consolidated statement of operations. With regard to revenue recognition, shipping activities that occur prior to the customers’ obtaining control of the goods are not a promised service to the customer, but rather activities to fulfill the Company’s promise to transfer the goods. As such, these activities are not deemed a performance obligation requiring allocation of the transaction price. Similarly, shipping activities that occur after the customers’ obtaining control of the goods are, as a matter of policy, also not a promised service to the customer, but rather an activity to fulfill the Company’s promise to transfer the goods.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revenue typically includes fees that our customers pay for various required laboratory tests, and may also include revenue from technology license fees and paid development projects. Technology license fees and paid development projects are recognized over time when the obligations under the agreed upon contractual arrangements are performed on our part. Other revenue recognized over time was $38 and $50, for the three months ended March 31, 2026 and 2025, respectively.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carried at the original invoice amount, less an allowance for expected credit losses. We estimate the allowance for credit losses based on a review of outstanding receivables, including the age of the receivables, historical collection experience, specific customer collectability considerations, current conditions, and other relevant factors. In estimating expected credit losses for current trade receivables arising from contracts with customers, we have elected the practical expedient under ASU 2025-05 and assume that current conditions as of the balance sheet date do not change over the remaining life of the receivables. Receivables are written off when deemed uncollectible. Recoveries of trade accounts receivable previously written off are recorded when received. Our typical credit terms are between thirty and sixty days from shipment and invoicing.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73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Balance, beginning</w:t>
            </w:r>
          </w:p>
        </w:tc>
        <w:tc>
          <w:tcPr>
            <w:tcW w:w="152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Current period provisions</w:t>
            </w:r>
          </w:p>
        </w:tc>
        <w:tc>
          <w:tcPr>
            <w:tcW w:w="15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8"/>
                <w:szCs w:val="18"/>
                <w:color w:val="auto"/>
              </w:rPr>
            </w:pPr>
          </w:p>
        </w:tc>
      </w:tr>
      <w:tr>
        <w:trPr>
          <w:trHeight w:val="229"/>
        </w:trPr>
        <w:tc>
          <w:tcPr>
            <w:tcW w:w="7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Write offs</w:t>
            </w:r>
          </w:p>
        </w:tc>
        <w:tc>
          <w:tcPr>
            <w:tcW w:w="15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r>
      <w:tr>
        <w:trPr>
          <w:trHeight w:val="223"/>
        </w:trPr>
        <w:tc>
          <w:tcPr>
            <w:tcW w:w="732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Balance, ending</w:t>
            </w:r>
          </w:p>
        </w:tc>
        <w:tc>
          <w:tcPr>
            <w:tcW w:w="152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Options to purchase approximately 1,085,889 shares of common stock that were outstanding as of March 31, 2026 were not included in the computation of earnings per share for the three months ended March 31, 2026, as inclusion of these shares would have resulted in an anti-dilutive effect and were thus omitted from disclosure. Included in the computation of diluted earnings per share for the three months ended March 31, 2025, was a total of 2,528,837 in potential shares of common stock.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ind w:left="700"/>
        <w:spacing w:after="0"/>
        <w:rPr>
          <w:sz w:val="20"/>
          <w:szCs w:val="20"/>
          <w:color w:val="auto"/>
        </w:rPr>
      </w:pPr>
      <w:r>
        <w:rPr>
          <w:rFonts w:ascii="Times New Roman" w:cs="Times New Roman" w:eastAsia="Times New Roman" w:hAnsi="Times New Roman"/>
          <w:sz w:val="18"/>
          <w:szCs w:val="18"/>
          <w:color w:val="auto"/>
        </w:rPr>
        <w:t>Earnings applicable to common stock and common stock shares used in the calculation of basic and diluted earnings per share are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8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Numerator: (in Thousands)</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86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(766)</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Denominator:</w:t>
            </w:r>
          </w:p>
        </w:tc>
        <w:tc>
          <w:tcPr>
            <w:tcW w:w="5860" w:type="dxa"/>
            <w:vAlign w:val="bottom"/>
            <w:tcBorders>
              <w:bottom w:val="single" w:sz="8" w:color="CCEEFF"/>
            </w:tcBorders>
            <w:gridSpan w:val="4"/>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Weighted average number of basic common shares outstanding</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70,625,494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70,103,279</w:t>
            </w:r>
          </w:p>
        </w:tc>
        <w:tc>
          <w:tcPr>
            <w:tcW w:w="0" w:type="dxa"/>
            <w:vAlign w:val="bottom"/>
          </w:tcPr>
          <w:p>
            <w:pPr>
              <w:spacing w:after="0"/>
              <w:rPr>
                <w:sz w:val="1"/>
                <w:szCs w:val="1"/>
                <w:color w:val="auto"/>
              </w:rPr>
            </w:pPr>
          </w:p>
        </w:tc>
      </w:tr>
      <w:tr>
        <w:trPr>
          <w:trHeight w:val="198"/>
        </w:trPr>
        <w:tc>
          <w:tcPr>
            <w:tcW w:w="686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additional shares assuming conversion of in-the-money stock options to</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2,528,837</w:t>
            </w: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Weighted average number of diluted common shares outstanding</w:t>
            </w: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70,625,494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72,632,116</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 basic</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6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 diluted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(5) Financial Instruments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follow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 establishes a framework for measuring fair value, and expands disclosures about fair value measurements. The fair value framework requires the categorization of assets and liabilities into three levels based upon the assumptions (inputs) used to price the assets or liabilities. Level 1 provides the most reliable measure of fair value, whereas Level 3 generally requires significant management judgment.</w:t>
      </w:r>
    </w:p>
    <w:p>
      <w:pPr>
        <w:spacing w:after="0" w:line="182" w:lineRule="exact"/>
        <w:rPr>
          <w:sz w:val="20"/>
          <w:szCs w:val="20"/>
          <w:color w:val="auto"/>
        </w:rPr>
      </w:pPr>
    </w:p>
    <w:p>
      <w:pPr>
        <w:jc w:val="both"/>
        <w:ind w:firstLine="693"/>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accounts receivable, net, accounts payable and accrued expenses, along with any short-term and long-term borrowings as described in Note 6. The carrying values of cash, accounts receivable, net, and accounts payable and accrued expenses are reasonable estimates of their fair value due to the short-term nature of these accounts. The fair value of short-term and long-term debt approximates carrying value based on comparison of terms to similar debt offering in the marketplace.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financial instruments adjusted to fair value on March 31, 2026 and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Notes and Lines of 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and lines of credit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64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187"/>
        </w:trPr>
        <w:tc>
          <w:tcPr>
            <w:tcW w:w="4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6"/>
                <w:szCs w:val="16"/>
                <w:color w:val="auto"/>
              </w:rPr>
            </w:pPr>
          </w:p>
        </w:tc>
      </w:tr>
      <w:tr>
        <w:trPr>
          <w:trHeight w:val="216"/>
        </w:trPr>
        <w:tc>
          <w:tcPr>
            <w:tcW w:w="40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Rate at March</w:t>
            </w:r>
          </w:p>
        </w:tc>
        <w:tc>
          <w:tcPr>
            <w:tcW w:w="16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Borrowing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Borrowed</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Borrowing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Borrowed</w:t>
            </w:r>
          </w:p>
        </w:tc>
      </w:tr>
      <w:tr>
        <w:trPr>
          <w:trHeight w:val="238"/>
        </w:trPr>
        <w:tc>
          <w:tcPr>
            <w:tcW w:w="40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31, 2026</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00" w:type="dxa"/>
            <w:vAlign w:val="bottom"/>
            <w:tcBorders>
              <w:bottom w:val="single" w:sz="8" w:color="CCEEFF"/>
            </w:tcBorders>
          </w:tcPr>
          <w:p>
            <w:pPr>
              <w:spacing w:after="0"/>
              <w:rPr>
                <w:sz w:val="20"/>
                <w:szCs w:val="20"/>
                <w:color w:val="auto"/>
              </w:rPr>
            </w:pPr>
          </w:p>
        </w:tc>
      </w:tr>
      <w:tr>
        <w:trPr>
          <w:trHeight w:val="237"/>
        </w:trPr>
        <w:tc>
          <w:tcPr>
            <w:tcW w:w="4080" w:type="dxa"/>
            <w:vAlign w:val="bottom"/>
            <w:shd w:val="clear" w:color="auto" w:fill="CCEEFF"/>
          </w:tcPr>
          <w:p>
            <w:pPr>
              <w:ind w:left="60"/>
              <w:spacing w:after="0" w:line="236" w:lineRule="exact"/>
              <w:rPr>
                <w:sz w:val="20"/>
                <w:szCs w:val="20"/>
                <w:color w:val="auto"/>
              </w:rPr>
            </w:pPr>
            <w:r>
              <w:rPr>
                <w:rFonts w:ascii="Times New Roman" w:cs="Times New Roman" w:eastAsia="Times New Roman" w:hAnsi="Times New Roman"/>
                <w:sz w:val="17"/>
                <w:szCs w:val="17"/>
                <w:color w:val="auto"/>
              </w:rPr>
              <w:t>Libertyville Bank &amp; Trust</w:t>
            </w:r>
            <w:r>
              <w:rPr>
                <w:rFonts w:ascii="Times New Roman" w:cs="Times New Roman" w:eastAsia="Times New Roman" w:hAnsi="Times New Roman"/>
                <w:sz w:val="27"/>
                <w:szCs w:val="27"/>
                <w:color w:val="auto"/>
                <w:vertAlign w:val="superscript"/>
              </w:rPr>
              <w:t>(1)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8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Libertyville Bank &amp; Trust</w:t>
            </w:r>
            <w:r>
              <w:rPr>
                <w:rFonts w:ascii="Times New Roman" w:cs="Times New Roman" w:eastAsia="Times New Roman" w:hAnsi="Times New Roman"/>
                <w:sz w:val="29"/>
                <w:szCs w:val="29"/>
                <w:color w:val="auto"/>
                <w:vertAlign w:val="superscript"/>
              </w:rPr>
              <w:t>(2)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80" w:type="dxa"/>
            <w:vAlign w:val="bottom"/>
            <w:shd w:val="clear" w:color="auto" w:fill="CCEEFF"/>
          </w:tcPr>
          <w:p>
            <w:pPr>
              <w:ind w:left="60"/>
              <w:spacing w:after="0" w:line="256" w:lineRule="exact"/>
              <w:rPr>
                <w:sz w:val="20"/>
                <w:szCs w:val="20"/>
                <w:color w:val="auto"/>
              </w:rPr>
            </w:pPr>
            <w:r>
              <w:rPr>
                <w:rFonts w:ascii="Times New Roman" w:cs="Times New Roman" w:eastAsia="Times New Roman" w:hAnsi="Times New Roman"/>
                <w:sz w:val="18"/>
                <w:szCs w:val="18"/>
                <w:color w:val="auto"/>
              </w:rPr>
              <w:t>Beachcorp, LLC</w:t>
            </w:r>
            <w:r>
              <w:rPr>
                <w:rFonts w:ascii="Times New Roman" w:cs="Times New Roman" w:eastAsia="Times New Roman" w:hAnsi="Times New Roman"/>
                <w:sz w:val="29"/>
                <w:szCs w:val="29"/>
                <w:color w:val="auto"/>
                <w:vertAlign w:val="superscript"/>
              </w:rPr>
              <w:t>(3)</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3,047</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4,767</w:t>
            </w:r>
          </w:p>
        </w:tc>
      </w:tr>
      <w:tr>
        <w:trPr>
          <w:trHeight w:val="257"/>
        </w:trPr>
        <w:tc>
          <w:tcPr>
            <w:tcW w:w="408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Beachcorp, LLC</w:t>
            </w:r>
            <w:r>
              <w:rPr>
                <w:rFonts w:ascii="Times New Roman" w:cs="Times New Roman" w:eastAsia="Times New Roman" w:hAnsi="Times New Roman"/>
                <w:sz w:val="29"/>
                <w:szCs w:val="29"/>
                <w:color w:val="auto"/>
                <w:vertAlign w:val="superscript"/>
              </w:rPr>
              <w:t>(4)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w:t>
            </w:r>
          </w:p>
        </w:tc>
        <w:tc>
          <w:tcPr>
            <w:tcW w:w="14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w:t>
            </w:r>
          </w:p>
        </w:tc>
      </w:tr>
      <w:tr>
        <w:trPr>
          <w:trHeight w:val="256"/>
        </w:trPr>
        <w:tc>
          <w:tcPr>
            <w:tcW w:w="4080" w:type="dxa"/>
            <w:vAlign w:val="bottom"/>
            <w:shd w:val="clear" w:color="auto" w:fill="CCEEFF"/>
          </w:tcPr>
          <w:p>
            <w:pPr>
              <w:ind w:left="60"/>
              <w:spacing w:after="0" w:line="256" w:lineRule="exact"/>
              <w:rPr>
                <w:sz w:val="20"/>
                <w:szCs w:val="20"/>
                <w:color w:val="auto"/>
              </w:rPr>
            </w:pPr>
            <w:r>
              <w:rPr>
                <w:rFonts w:ascii="Times New Roman" w:cs="Times New Roman" w:eastAsia="Times New Roman" w:hAnsi="Times New Roman"/>
                <w:sz w:val="18"/>
                <w:szCs w:val="18"/>
                <w:color w:val="auto"/>
              </w:rPr>
              <w:t>Strandler, LLC</w:t>
            </w:r>
            <w:r>
              <w:rPr>
                <w:rFonts w:ascii="Times New Roman" w:cs="Times New Roman" w:eastAsia="Times New Roman" w:hAnsi="Times New Roman"/>
                <w:sz w:val="29"/>
                <w:szCs w:val="29"/>
                <w:color w:val="auto"/>
                <w:vertAlign w:val="superscript"/>
              </w:rPr>
              <w:t>(5)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25" w:lineRule="exact"/>
        <w:rPr>
          <w:sz w:val="20"/>
          <w:szCs w:val="20"/>
          <w:color w:val="auto"/>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2014, we have maintained a bank-issued letter of credit for up to $30 in borrowings, with interest at the prime rate plus 1%, to support our obligations under our Romeoville, Illinois facility lease agreement. No borrowings have been incurred under this promissory note. It is our intention to renew this note annually. Because there were no amounts outstanding on the note at any time during 2026 or 2025, we have recorded no related liability on our condensed consolidated balance sheet.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2021, the existing credit agreement with Libertyville was converted for use to support our obligations under our newly leased manufacturing and warehouse space in Bolingbrook, Illinois. Interest on drawn balances will be at the prime rate plus 1%. This credit agreement has a maturity of December 22, 2026. We expect to renew this agreement annually, as the lease requires. This credit agreement is secured by all the unencumbered assets of the Company and has superior collateral rights to those credit facilities with Beachcorp, LLC and Strandler, LLC.</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28, 2022, the Company entered into an Amended and Restated Business Loan Agreement (the “A&amp;R Loan Agreement”), with Beachcorp, LLC, and a new promissory note in order to evidence the A/R Revolver facility, including an amendment to expand the limit on the A/R Revolver Facility from $6,000 to $8,000, reduce the interest rate to the prime rate plus 0.75%, and extend the maturity of the A/R Revolver Facility to March 31, 2024. On March 1, 2024, the Company entered into a Second Amendment to the Amended and Restated Business Loan Agreement extending the maturity of the A/R Revolver Facility to October 1, 2025. On May 27, 2025, the Company entered into a Third Amendment to the Amended and Restated Business Loan Agreement to expand the limit on the A/R Revolver Facility from $8,000 to $12,000 and extend its maturity to April 30, 2027.</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312" w:gutter="0" w:footer="0" w:header="0"/>
        </w:sectPr>
      </w:pPr>
    </w:p>
    <w:bookmarkStart w:id="9" w:name="page10"/>
    <w:bookmarkEnd w:id="9"/>
    <w:p>
      <w:pPr>
        <w:jc w:val="both"/>
        <w:ind w:left="980" w:hanging="324"/>
        <w:spacing w:after="0" w:line="253"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28, 2022, the Company entered into the A&amp;R Loan Agreement and a new revolving loan agreement (“Inventory Facility”) with Beachcorp, LLC, and a new promissory note in order to evidence the Inventory Facility. The maximum borrowing amount under the Inventory Facility was $4,000, with a borrowing base consisting of up to 50% of the value of qualified inventory of the Company. The interest rate for the Inventory Revolver is at the prime rate plus 0.75%, and it was set to mature on March 31, 2024. On November 13, 2023, the Company entered into a Replacement Promissory Note with Beachcorp, LLC replacing the Inventory Facility promissory note executed on January 28, 2022. The maximum borrowing amount under the replacement Inventory Facility was increased to $5,200, with a borrowing base consisting of up to 55% of the value of qualified inventory of the Company. The interest rate for the replacement Inventory Revolver remains at the prime rate plus 0.75%. On March 1, 2024, the company entered into a Second Amendment to the Business Loan Agreement extending the maturity of the Inventory Revolver Facility to October 1, 2025. On May 27, 2025, the Company entered into a Third Amendment to the Business Loan Agreement to expand the limit on the Inventory Revolver Facility from $5,200 to $10,000 and extend its maturity to April 30, 2027.</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28, 2022, the Company entered into an additional Business Loan Agreement (the “New Term Loan Agreement”) with Strandler, LLC, which effectively transferred or assigned the Term Loan to Strandler, LLC from Beachcorp, LLC. Interest on the New Term Loan is at the prime rate plus 0.75%. Strandler, LLC is also an affiliate of Bradford T. Whitmore. On March 1, 2024, the company entered into a Second Amendment to the Business Loan Agreement extending the maturity of the Term Maturity Note to October 1, 2025. On May 27, 2025, the Company entered into a Third Amendment to the Business Loan Agreement extending the maturity of the Term Maturity Note to April 30, 2027.</w:t>
      </w:r>
    </w:p>
    <w:p>
      <w:pPr>
        <w:spacing w:after="0" w:line="187" w:lineRule="exact"/>
        <w:rPr>
          <w:sz w:val="20"/>
          <w:szCs w:val="20"/>
          <w:color w:val="auto"/>
        </w:rPr>
      </w:pPr>
    </w:p>
    <w:p>
      <w:pPr>
        <w:jc w:val="both"/>
        <w:ind w:left="80" w:firstLine="567"/>
        <w:spacing w:after="0" w:line="266" w:lineRule="auto"/>
        <w:rPr>
          <w:sz w:val="20"/>
          <w:szCs w:val="20"/>
          <w:color w:val="auto"/>
        </w:rPr>
      </w:pPr>
      <w:r>
        <w:rPr>
          <w:rFonts w:ascii="Times New Roman" w:cs="Times New Roman" w:eastAsia="Times New Roman" w:hAnsi="Times New Roman"/>
          <w:sz w:val="18"/>
          <w:szCs w:val="18"/>
          <w:color w:val="auto"/>
        </w:rPr>
        <w:t>The Company classifies the line of credit – accounts receivable as current because we are required to pay back the borrowings as cash is received from our customers. The Company’s remaining debt is presented within the Consolidated Balance Sheet as of March 31, 2026, and December 31, 2025 in accordance with the maturity dates in the financing agreements.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Beachcorp, LLC and Strandler, LLC are affiliates of Mr. Bradford T. Whitmore, who beneficially owns a majority of the Company’s common stock and is the brother of Ms. R. Janet Whitmore, a director of the Company and the chair of the Company’s board of directors. The A/R Revolver Facility, the Inventory Facility and the New Term Loan are all secured by all the unencumbered assets of the Company and subordinated to the Company’s credit facility with Libertyville Bank &amp; Trust.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interest expense consists of the following:</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60" w:type="dxa"/>
            <w:vAlign w:val="bottom"/>
          </w:tcPr>
          <w:p>
            <w:pPr>
              <w:spacing w:after="0"/>
              <w:rPr>
                <w:sz w:val="24"/>
                <w:szCs w:val="24"/>
                <w:color w:val="auto"/>
              </w:rPr>
            </w:pPr>
          </w:p>
        </w:tc>
      </w:tr>
      <w:tr>
        <w:trPr>
          <w:trHeight w:val="210"/>
        </w:trPr>
        <w:tc>
          <w:tcPr>
            <w:tcW w:w="50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226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related parties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432"/>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consists of the following:</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5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0"/>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 related parties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432"/>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associated with related parties are as follows: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5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0"/>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Beachcorp, LLC</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Strandler, LLC</w:t>
            </w:r>
          </w:p>
        </w:tc>
        <w:tc>
          <w:tcPr>
            <w:tcW w:w="2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64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Inventories, net</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5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6"/>
        </w:trPr>
        <w:tc>
          <w:tcPr>
            <w:tcW w:w="5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3"/>
        </w:trPr>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4,699</w:t>
            </w:r>
          </w:p>
        </w:tc>
        <w:tc>
          <w:tcPr>
            <w:tcW w:w="2260" w:type="dxa"/>
            <w:vAlign w:val="bottom"/>
          </w:tcPr>
          <w:p>
            <w:pPr>
              <w:spacing w:after="0"/>
              <w:rPr>
                <w:sz w:val="18"/>
                <w:szCs w:val="18"/>
                <w:color w:val="auto"/>
              </w:rPr>
            </w:pPr>
          </w:p>
        </w:tc>
      </w:tr>
      <w:tr>
        <w:trPr>
          <w:trHeight w:val="23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(2,721)</w:t>
            </w:r>
          </w:p>
        </w:tc>
        <w:tc>
          <w:tcPr>
            <w:tcW w:w="2260" w:type="dxa"/>
            <w:vAlign w:val="bottom"/>
          </w:tcPr>
          <w:p>
            <w:pPr>
              <w:spacing w:after="0"/>
              <w:rPr>
                <w:sz w:val="19"/>
                <w:szCs w:val="19"/>
                <w:color w:val="auto"/>
              </w:rPr>
            </w:pP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 net</w:t>
            </w: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736"/>
        </w:trPr>
        <w:tc>
          <w:tcPr>
            <w:tcW w:w="5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(8) Significant Customers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three significant customers for the three months ended March 31, 2026, and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these three customers, as a percentage of total Company revenue, was approximately: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9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1160" w:type="dxa"/>
            <w:vAlign w:val="bottom"/>
          </w:tcPr>
          <w:p>
            <w:pPr>
              <w:spacing w:after="0"/>
              <w:rPr>
                <w:sz w:val="20"/>
                <w:szCs w:val="20"/>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84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Customer #</w:t>
            </w:r>
          </w:p>
        </w:tc>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r>
      <w:tr>
        <w:trPr>
          <w:trHeight w:val="209"/>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Products</w:t>
            </w:r>
          </w:p>
        </w:tc>
        <w:tc>
          <w:tcPr>
            <w:tcW w:w="1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Personal Care Ingredients</w:t>
            </w:r>
          </w:p>
        </w:tc>
        <w:tc>
          <w:tcPr>
            <w:tcW w:w="1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Products</w:t>
            </w:r>
          </w:p>
        </w:tc>
        <w:tc>
          <w:tcPr>
            <w:tcW w:w="1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1160" w:type="dxa"/>
            <w:vAlign w:val="bottom"/>
          </w:tcPr>
          <w:p>
            <w:pPr>
              <w:spacing w:after="0"/>
              <w:rPr>
                <w:sz w:val="19"/>
                <w:szCs w:val="19"/>
                <w:color w:val="auto"/>
              </w:rPr>
            </w:pPr>
          </w:p>
        </w:tc>
        <w:tc>
          <w:tcPr>
            <w:tcW w:w="3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Accounts receivable balances for these three customers were approximately: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280" w:type="dxa"/>
            <w:vAlign w:val="bottom"/>
          </w:tcPr>
          <w:p>
            <w:pPr>
              <w:spacing w:after="0"/>
              <w:rPr>
                <w:sz w:val="20"/>
                <w:szCs w:val="20"/>
                <w:color w:val="auto"/>
              </w:rPr>
            </w:pPr>
          </w:p>
        </w:tc>
        <w:tc>
          <w:tcPr>
            <w:tcW w:w="256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23"/>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Customer #</w:t>
            </w:r>
          </w:p>
        </w:tc>
        <w:tc>
          <w:tcPr>
            <w:tcW w:w="3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Products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3,837</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Personal Care Ingredients</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tcPr>
          <w:p>
            <w:pPr>
              <w:spacing w:after="0"/>
              <w:rPr>
                <w:sz w:val="18"/>
                <w:szCs w:val="18"/>
                <w:color w:val="auto"/>
              </w:rPr>
            </w:pPr>
          </w:p>
        </w:tc>
      </w:tr>
      <w:tr>
        <w:trPr>
          <w:trHeight w:val="229"/>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Products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60" w:type="dxa"/>
            <w:vAlign w:val="bottom"/>
          </w:tcPr>
          <w:p>
            <w:pPr>
              <w:spacing w:after="0"/>
              <w:rPr>
                <w:sz w:val="19"/>
                <w:szCs w:val="19"/>
                <w:color w:val="auto"/>
              </w:rPr>
            </w:pPr>
          </w:p>
        </w:tc>
        <w:tc>
          <w:tcPr>
            <w:tcW w:w="3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have exclusive supply agreements with BASF Corporation (“BASF”), our second largest customer, that have contingencies outlined which could potentially result in the sale of production equipment from the Company to the customer intended to provide capacity sufficient to meet the customer’s production needs. This outcome may occur if we fail to meet certain performance requirements. In the event of an equipment sale, upon incurring a triggering event, the equipment would be sold to the customer at either 115% of the equipment’s net book value or the greater of 30% of the original book value of such equipment, and any associated upgrades to it, or 115% of the equipment’s net book value, depending on the equipment and related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Segmentation and Geographical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as a single business segment, in which the factors used to make this determination include differences in products, services, geographical areas, regulatory environment, and other such criteria considered for the appropriateness of aggregation. The types of products and services for which the sole reportable segment, which is the same as the Company as a whole, offered by the Company is discussed in Note 1. Since the Company operates as a single segment, there were no intra-entity sales or transfers.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role of Chief Operating Decision Maker for the Company is Chief Executive Officer. The Chief Operating Decision Maker assesses performance for the single segment and decides how to allocate resources based on net income that also is reported on the statement of operations as net income. The measure of segment assets is reported on the balance sheet as total assets. The accounting policies of the sole segment are the same as those described in the summary of significant accounting policies in Note 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Chief Operating Decision Maker uses gross profit and net income to evaluate Company performance and in what way to allocate resources.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segment expenses, which are the same as the entity as a whole,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Contractors and professional services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Tax 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Testing</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IT services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other 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(766)</w:t>
            </w:r>
          </w:p>
        </w:tc>
        <w:tc>
          <w:tcPr>
            <w:tcW w:w="62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820" w:type="dxa"/>
            <w:vAlign w:val="bottom"/>
            <w:tcBorders>
              <w:bottom w:val="single" w:sz="8" w:color="auto"/>
            </w:tcBorders>
            <w:gridSpan w:val="2"/>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217"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from international sources approximated $913 and $993 for the three months ended March 31, 2026 and 2025, respectively. As part of our revenue from international sources, we recognized approximately $613 and $349 in product revenue from Canadian companies, in the aggregate, for the three months ended March 31, 2026 and 2025,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operations comprise a single business segment and all of our long-lived assets are located within the United States. We categorize our revenue stream into three main product categories, personal care ingredients, advanced materials and consumer products. The revenues for the three months ended March 31, 2026 and 2025 by category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Personal Care Ingredients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Materials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Solésence is a health-oriented, science-driven company, focused on various skin health, beauty and wellness markets. Our primary skin health products are fully developed prestige skin care formulations with mineral-based UV protection enabled by our proprietary Active Pharmaceutical Ingredients (“APIs”), which are also marketed as APIs for sale to manufacturers of other types of skin health products, including sunscreens and daily care products. Additionally, we continue to sell products in legacy markets including medical diagnostics, architectural coatings, industrial coating applications, abrasion-resistant additives, and plastics additives applications—all of which currently fall into the advanced materials product category.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229" w:lineRule="exact"/>
        <w:rPr>
          <w:sz w:val="20"/>
          <w:szCs w:val="20"/>
          <w:color w:val="auto"/>
        </w:rPr>
      </w:pPr>
    </w:p>
    <w:p>
      <w:pPr>
        <w:jc w:val="both"/>
        <w:ind w:firstLine="1046"/>
        <w:spacing w:after="0" w:line="261" w:lineRule="auto"/>
        <w:rPr>
          <w:sz w:val="20"/>
          <w:szCs w:val="20"/>
          <w:color w:val="auto"/>
        </w:rPr>
      </w:pPr>
      <w:r>
        <w:rPr>
          <w:rFonts w:ascii="Times New Roman" w:cs="Times New Roman" w:eastAsia="Times New Roman" w:hAnsi="Times New Roman"/>
          <w:sz w:val="18"/>
          <w:szCs w:val="18"/>
          <w:color w:val="auto"/>
        </w:rPr>
        <w:t>Total revenue decreased to $12,957 for the three months ended March 31, 2026, compared to $14,625 for the same period in 2025. Much of our revenue was from our three largest customers for the three-month periods ended March 31, 2026, and 2025, respectively. This reflects sales to our largest customers for our consumer products and sales of APIs to our largest customer in personal care ingredients. This is the revenue breakdown, as a percentage of total revenue, from the customers referenced above during the three-months periods ended March 31, 2026, and 2025,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92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3380" w:type="dxa"/>
            <w:vAlign w:val="bottom"/>
          </w:tcPr>
          <w:p>
            <w:pPr>
              <w:spacing w:after="0"/>
              <w:rPr>
                <w:sz w:val="19"/>
                <w:szCs w:val="19"/>
                <w:color w:val="auto"/>
              </w:rPr>
            </w:pPr>
          </w:p>
        </w:tc>
      </w:tr>
      <w:tr>
        <w:trPr>
          <w:trHeight w:val="238"/>
        </w:trPr>
        <w:tc>
          <w:tcPr>
            <w:tcW w:w="1160" w:type="dxa"/>
            <w:vAlign w:val="bottom"/>
          </w:tcPr>
          <w:p>
            <w:pPr>
              <w:spacing w:after="0"/>
              <w:rPr>
                <w:sz w:val="20"/>
                <w:szCs w:val="20"/>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84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23"/>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Customer #</w:t>
            </w:r>
          </w:p>
        </w:tc>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3380" w:type="dxa"/>
            <w:vAlign w:val="bottom"/>
          </w:tcPr>
          <w:p>
            <w:pPr>
              <w:spacing w:after="0"/>
              <w:rPr>
                <w:sz w:val="19"/>
                <w:szCs w:val="19"/>
                <w:color w:val="auto"/>
              </w:rPr>
            </w:pPr>
          </w:p>
        </w:tc>
      </w:tr>
      <w:tr>
        <w:trPr>
          <w:trHeight w:val="210"/>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Products</w:t>
            </w:r>
          </w:p>
        </w:tc>
        <w:tc>
          <w:tcPr>
            <w:tcW w:w="1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38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Personal Care Ingredients</w:t>
            </w:r>
          </w:p>
        </w:tc>
        <w:tc>
          <w:tcPr>
            <w:tcW w:w="1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380" w:type="dxa"/>
            <w:vAlign w:val="bottom"/>
          </w:tcPr>
          <w:p>
            <w:pPr>
              <w:spacing w:after="0"/>
              <w:rPr>
                <w:sz w:val="18"/>
                <w:szCs w:val="18"/>
                <w:color w:val="auto"/>
              </w:rPr>
            </w:pPr>
          </w:p>
        </w:tc>
      </w:tr>
      <w:tr>
        <w:trPr>
          <w:trHeight w:val="229"/>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Products</w:t>
            </w:r>
          </w:p>
        </w:tc>
        <w:tc>
          <w:tcPr>
            <w:tcW w:w="1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38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3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520"/>
        </w:trPr>
        <w:tc>
          <w:tcPr>
            <w:tcW w:w="1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2" w:name="page13"/>
    <w:bookmarkEnd w:id="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Product revenue, the primary component of our total revenue, decreased to $12,957 for the three months ended March 31, 2026, compared to $14,625 during the same period of 2025. The three-month product revenue was lower due to higher sales in our personal care ingredients category and lower sales in our consumer products and advanced materials product categories.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revenue decreased to $38 for the three-month period ended March 31, 2026, compared to $50 for the same period in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 are typically comprised primarily of developmental fees.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revenue generally includes costs associated with commercial production and customer development arrangements. Cost of revenue decreased to $9,620 for the three months ended March 31, 2026, compared to $11,243 for the same period in 2025. The decrease for the three months in the cost of revenue was primarily driven by decreased volume resulting in decreased labor and material costs. While we typically pass-through costs to our customers, we sometimes cannot pass through 100% of pricing increases on raw materials, and even with pass throughs, our gross margin percentage is negatively impacted by higher material costs. The Company continues to monitor the potential impact of the tariffs and associated legal actions and pricing on our materials sourced internationally.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Capacity is a key area of focus to increase throughput first, followed quickly by increased cost efficiency once we can achieve greater scale. Our planning has had us adding to our current fixed manufacturing cost structure through 2026 to accommodate additional growth, and to build a better base for further growth beyond that level. The extent to which margins grow, as a percentage of total revenue, will be dependent upon revenue mix, revenue volume, our ability to cut costs and pass commodity market-driven raw materials increases on to customers, and the speed and efficiency with which we are able to scale up production for our consumer products. We expect that, as product revenue volume increases, our fixed manufacturing costs will be more efficiently absorbed, which should lead to increased margins as we grow. Our most critical operational issue today is reducing controllable variable product manufacturing costs.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which includes all expenses relating to the technology and advanced engineering groups, primarily consists of costs associated with the development or acquisition of new finished product formulations for skin care, new product applications for our skin care ingredients, and the cost of enhancing our manufacturing processes. This includes legal fees related to intellectual property development, protection, and maintenance. As an example, we are currently focusing the bulk of our resources on developing new product formulations, and related new technologies, as we expand marketing and sales efforts relating to our Solésence products. This work has led to several new products and additional potential new products. Our efforts in research and development, cosmetic formulating, process engineering and advanced engineering groups are focused in three major areas: 1) application development for our products; 2) creating or obtaining additional core materials technologies and/or materials that have the capability to serve multiple skin health-related markets; and 3) continuing to improve our core technologies to improve manufacturing operations and reduce costs.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Research and development expense increased to $1,042 for the three months ended March 31, 2026, compared to $1,018 for the same period in 2025. </w:t>
      </w:r>
      <w:r>
        <w:rPr>
          <w:rFonts w:ascii="Times New Roman" w:cs="Times New Roman" w:eastAsia="Times New Roman" w:hAnsi="Times New Roman"/>
          <w:sz w:val="18"/>
          <w:szCs w:val="18"/>
          <w:color w:val="212529"/>
        </w:rPr>
        <w:t>T</w:t>
      </w:r>
      <w:r>
        <w:rPr>
          <w:rFonts w:ascii="Times New Roman" w:cs="Times New Roman" w:eastAsia="Times New Roman" w:hAnsi="Times New Roman"/>
          <w:sz w:val="18"/>
          <w:szCs w:val="18"/>
          <w:color w:val="auto"/>
        </w:rPr>
        <w:t>he increase is due in large part to increased legal costs related to research and development, and salaries in 2026 compared to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to $2,799 for the three months ended March 31, 2026, compared to $2,108 for the same period in 2025. The increase is due to an increase in legal costs and increased employee-related costs in 2026 to when compared to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Company-wide operations, we believe inflation has not had a material effect on our operations or financial position for 2025, although we have seen increases in our costs. We expect supplier price increases and wage and benefit inflation, both of which represent a significant component of our costs of operations, may have a material effect on our operations and financial position in 2026 and beyond. We will apply our best efforts to pass through cost increases to our customers. If we are unable to pass through any increases due to contractual limitations or conditions in our markets specifically, this could reduce margins and net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proceeds and use of cash for the three months ended March 31, 2026, and 2025, and year ended December 31, 2025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 000’s</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(2,143)</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10,589</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cash provided by operating activities during the three months ended March 31, 2026 was primarily due to increase in accounts payable and deferred revenue, offset by net income (loss) and decrease in inventory. Net cash used in investing activities was attributable to expenditures on capital equipment for all periods presented above. The net cash used in financing activities was attributable to the decreased use of debt.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firstLine="721"/>
        <w:spacing w:after="0" w:line="253" w:lineRule="auto"/>
        <w:rPr>
          <w:sz w:val="20"/>
          <w:szCs w:val="20"/>
          <w:color w:val="auto"/>
        </w:rPr>
      </w:pPr>
      <w:r>
        <w:rPr>
          <w:rFonts w:ascii="Times New Roman" w:cs="Times New Roman" w:eastAsia="Times New Roman" w:hAnsi="Times New Roman"/>
          <w:sz w:val="18"/>
          <w:szCs w:val="18"/>
          <w:color w:val="auto"/>
        </w:rPr>
        <w:t>Our actual future capital requirements in 2026 and beyond will depend on many factors, including customer acceptance of our current and potential future consumer products, applications, and products, continued progress in research and development activities and product testing programs, the magnitude of these activities and programs, and the costs necessary to increase and expand our manufacturing capabilities and to market and sell these products and ingredients. Other important issues that will drive future capital requirements will be the development of new markets and new customers as well as the potential for significant unplanned growth with existing customers. Depending on the success of certain projects, and conditions within the markets supplying labor and materials for capital equipment, we expect that capital spending relating to currently known capital needs for 2026 will be between $0.5 million and $1.5 million, to be funded by profit from operations, our existing loans and lines of credit, and possible new debt financing. If those projects are delayed or ultimately prove unsuccessful, or if we fail to be able to support the additional cost of funding them in the near term, we expect our capital expenditures may fall below the lower end of the range. Similarly, substantial success in business development projects may cause the actual 2026 capital investment to exceed the top of this range.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Consideration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had federal net operating loss carryforwards for tax purposes of approximately $36.9 million on December 31, 2025. Because the Company may experience “ownership changes” within the meaning of the U.S. Internal Revenue Code (“IRC”) in connection with any future equity offerings, future utilization of this carryforward may be subject to certain limitations as defined by the IRC. If not utilized, $30.7 million of this loss carryforward will expire between 2026 and 2038. Given changes to the IRC, net operating loss carryforwards generated after January 1, 2018 do not expire, therefore, $6.2 million in net operating losses generated since January 1, 2018 do not expire. We had Illinois net loss deduction carryforwards for tax purposes of approximately $20 million on December 31, 2025. Due to the provisions of Illinois Public Act 102-0669 signed November 16, 2021, Illinois net loss deductions expire between 2029 and 2039.</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annual limitation and uncertainty as to the amount of future taxable income that will be earned prior to the expiration of the carryforward, we have concluded that it is likely that some portion of this carryforward will expire before ultimately becoming available to reduce income tax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created, and are not party to, any special-purpose or off-balance sheet entities for the purposes of raising capital, incurring debt or operating our business. We do not have any off-balance sheet arrangements or relationships with entities that are not consolidated into our financial statements that are reasonably likely to materially affect our liquidity or the availability of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Provision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want to provide investors with more meaningful and useful information. As a result, this Quarterly Report on Form 10-Q (the “Form 10-Q”) contains and incorporates by reference certain “forward-looking statements”, as defined in Section 21E of the Securities Exchange Act of 1934, as amended (the “Exchange Act”). These statements reflect our current expectations of the future results of our operations, performance, and achievements. Forward-looking statements are covered under the safe harbor provisions of the Private Securities Litigation Reform Act of 1995. We have tried, wherever possible, to identify these statements by using words such as “anticipates”, “believes”, “estimates”, “expects”, “plans”, “intends” and similar expressions. These statements reflect management’s current beliefs and are based on information now available to it. Accordingly, these statements are subject to certain risks, uncertainties and contingencies that could cause our actual results, performance, or achievements in 2026 and beyond to differ materially from those expressed in, or implied by, such statements. These risks, uncertainties and factors include, without limitation: our ability to be consistently profitable despite the losses we have incurred since our incorporation; a decision by a customer to cancel a purchase order or supply agreement in light of our dependence on a limited number of key customers; the terms of our supply agreements with BASF which could trigger a requirement to sell equipment to that customer; our potential inability to obtain working capital when needed on acceptable terms or at all; our ability to obtain materials at costs we can pass through to our customers, including Rare Earth elements, specifically cerium oxide, as well as high purity zinc; uncertain demand for, and acceptance of, our Solésence products, and our advanced materials; our manufacturing capacity and product mix flexibility in light of customer demand; our limited marketing experience, including with our suite of Solésence products; changes in development and distribution relationships; the impact of competitive products and technologies; our dependence on patents and protection of proprietary information; our ability to maintain an appropriate electronic trading venue for our securities; the impact of any potential new governmental regulations, especially any new governmental regulations focusing on the processing, handling, storage or sale of nanomaterials, that could be difficult to respond to or costly to comply with; business interruptions due to unexpected events or public health crises, including viral pandemics such as COVID-19; and the resolution of litigation or other legal proceedings in which we may become involved. In addition, our forward-looking statements could be affected by general industry and market conditions and growth rates. Readers of this Quarterly Report on Form 10-Q should not place undue reliance on any forward-looking statements. Except as required by federal securities laws, we undertake no obligation to update or revise these forward-looking statements to reflect new events or uncertainties.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that are designed to ensure that information required to be disclosed by us in the reports filed by us under the Exchange Act is: (a) recorded, processed, summarized and reported within the time periods specified in the SEC’s rules and forms; and (b) accumulated and communicated to our management, including our principal executive and principal financial officers, to allow timely decisions regarding required disclosures. It should be noted that in designing and evaluating our disclosure controls and procedures, we recognize that any controls and procedures, no matter how well designed and operated, can provide only reasonable assurance of achieving the desired control objectives, and that our management necessarily was required to apply its judgment regarding the design of our disclosure controls and procedures. As of the end of the period covered by this report, we conducted an evaluation, under the supervision (and with the participation) of our management, including our Principal Executive Officer and Principal Financial Officer, of the effectiveness of the design and operation of our disclosure controls and procedures pursuant to Rules 13a-15(e) and 15d-15(e) of the Exchange Act. Based on that evaluation, our Principal Executive Officer and Principal Financial Officer concluded that our disclosure controls and procedures were effective at reaching that level of reasonable assurance.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management, including the CEO and CFO, confirm that there was no change in the Company’s internal control over financial reporting during the period covered by this report that has materially affected, or is reasonably likely to materially affect, the Company’s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220"/>
        <w:spacing w:after="0"/>
        <w:tabs>
          <w:tab w:leader="none" w:pos="1540" w:val="left"/>
        </w:tabs>
        <w:rPr>
          <w:sz w:val="20"/>
          <w:szCs w:val="20"/>
          <w:color w:val="auto"/>
        </w:rPr>
      </w:pPr>
      <w:r>
        <w:rPr>
          <w:rFonts w:ascii="Times New Roman" w:cs="Times New Roman" w:eastAsia="Times New Roman" w:hAnsi="Times New Roman"/>
          <w:sz w:val="18"/>
          <w:szCs w:val="18"/>
          <w:u w:val="single" w:color="auto"/>
          <w:color w:val="0000EE"/>
        </w:rPr>
        <w:t>Exhibit 31.1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pursuant to Rules 13a-14(a) and 15d-14(a) under the Exchange Act.</w:t>
      </w:r>
    </w:p>
    <w:p>
      <w:pPr>
        <w:spacing w:after="0" w:line="225" w:lineRule="exact"/>
        <w:rPr>
          <w:sz w:val="20"/>
          <w:szCs w:val="20"/>
          <w:color w:val="auto"/>
        </w:rPr>
      </w:pPr>
    </w:p>
    <w:p>
      <w:pPr>
        <w:ind w:left="220"/>
        <w:spacing w:after="0"/>
        <w:tabs>
          <w:tab w:leader="none" w:pos="1540" w:val="left"/>
        </w:tabs>
        <w:rPr>
          <w:sz w:val="20"/>
          <w:szCs w:val="20"/>
          <w:color w:val="auto"/>
        </w:rPr>
      </w:pPr>
      <w:r>
        <w:rPr>
          <w:rFonts w:ascii="Times New Roman" w:cs="Times New Roman" w:eastAsia="Times New Roman" w:hAnsi="Times New Roman"/>
          <w:sz w:val="18"/>
          <w:szCs w:val="18"/>
          <w:u w:val="single" w:color="auto"/>
          <w:color w:val="0000EE"/>
        </w:rPr>
        <w:t>Exhibit 31.2</w:t>
      </w:r>
      <w:r>
        <w:rPr>
          <w:sz w:val="20"/>
          <w:szCs w:val="20"/>
          <w:color w:val="auto"/>
        </w:rPr>
        <w:tab/>
      </w:r>
      <w:r>
        <w:rPr>
          <w:rFonts w:ascii="Times New Roman" w:cs="Times New Roman" w:eastAsia="Times New Roman" w:hAnsi="Times New Roman"/>
          <w:sz w:val="17"/>
          <w:szCs w:val="17"/>
          <w:u w:val="single" w:color="auto"/>
          <w:color w:val="0000EE"/>
        </w:rPr>
        <w:t>Certification of Principal Financial Officer pursuant to Rules 13a-14(a) and 15d-14(a) under the Exchange Act.</w:t>
      </w:r>
    </w:p>
    <w:p>
      <w:pPr>
        <w:spacing w:after="0" w:line="225" w:lineRule="exact"/>
        <w:rPr>
          <w:sz w:val="20"/>
          <w:szCs w:val="20"/>
          <w:color w:val="auto"/>
        </w:rPr>
      </w:pPr>
    </w:p>
    <w:p>
      <w:pPr>
        <w:ind w:left="220"/>
        <w:spacing w:after="0"/>
        <w:tabs>
          <w:tab w:leader="none" w:pos="1540" w:val="left"/>
        </w:tabs>
        <w:rPr>
          <w:sz w:val="20"/>
          <w:szCs w:val="20"/>
          <w:color w:val="auto"/>
        </w:rPr>
      </w:pPr>
      <w:r>
        <w:rPr>
          <w:rFonts w:ascii="Times New Roman" w:cs="Times New Roman" w:eastAsia="Times New Roman" w:hAnsi="Times New Roman"/>
          <w:sz w:val="18"/>
          <w:szCs w:val="18"/>
          <w:u w:val="single" w:color="auto"/>
          <w:color w:val="0000EE"/>
        </w:rPr>
        <w:t>Exhibit 32</w:t>
      </w:r>
      <w:r>
        <w:rPr>
          <w:sz w:val="20"/>
          <w:szCs w:val="20"/>
          <w:color w:val="auto"/>
        </w:rPr>
        <w:tab/>
      </w:r>
      <w:r>
        <w:rPr>
          <w:rFonts w:ascii="Times New Roman" w:cs="Times New Roman" w:eastAsia="Times New Roman" w:hAnsi="Times New Roman"/>
          <w:sz w:val="17"/>
          <w:szCs w:val="17"/>
          <w:u w:val="single" w:color="auto"/>
          <w:color w:val="0000EE"/>
        </w:rPr>
        <w:t>Certification of the Chief Executive Officer and Principal Financial Officer pursuant to 18 U.S.C. Section 1350.</w:t>
      </w:r>
    </w:p>
    <w:p>
      <w:pPr>
        <w:spacing w:after="0" w:line="225" w:lineRule="exact"/>
        <w:rPr>
          <w:sz w:val="20"/>
          <w:szCs w:val="20"/>
          <w:color w:val="auto"/>
        </w:rPr>
      </w:pPr>
    </w:p>
    <w:p>
      <w:pPr>
        <w:jc w:val="both"/>
        <w:ind w:left="1560" w:hanging="1335"/>
        <w:spacing w:after="0" w:line="261" w:lineRule="auto"/>
        <w:tabs>
          <w:tab w:leader="none" w:pos="154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8"/>
          <w:szCs w:val="18"/>
          <w:color w:val="auto"/>
        </w:rPr>
        <w:t>The following materials from Solésence, Inc.’s Quarterly Report on Form 10-Q for the quarter ended March 31, 2026, formatted in XBRL (Extensible Business Reporting Language): (1) the Balance Sheets, (2) the Statements of Operations, (3) the Statements of Shareholders Equity, (4) the Statements of Cash Flows, and (5) the Notes to Unaudited Consolidated Condensed Financial Statements.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SOLÉSENCE,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48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By: /s/ KEVIN CURETON</w:t>
            </w:r>
          </w:p>
        </w:tc>
      </w:tr>
      <w:tr>
        <w:trPr>
          <w:trHeight w:val="191"/>
        </w:trPr>
        <w:tc>
          <w:tcPr>
            <w:tcW w:w="37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4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Kevin Cureton</w:t>
            </w:r>
          </w:p>
        </w:tc>
      </w:tr>
      <w:tr>
        <w:trPr>
          <w:trHeight w:val="216"/>
        </w:trPr>
        <w:tc>
          <w:tcPr>
            <w:tcW w:w="3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7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SOLÉSENCE,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74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By: /s/ LAURA RIFFNER</w:t>
            </w:r>
          </w:p>
        </w:tc>
      </w:tr>
      <w:tr>
        <w:trPr>
          <w:trHeight w:val="191"/>
        </w:trPr>
        <w:tc>
          <w:tcPr>
            <w:tcW w:w="3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4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Laura Riffner</w:t>
            </w:r>
          </w:p>
        </w:tc>
      </w:tr>
      <w:tr>
        <w:trPr>
          <w:trHeight w:val="216"/>
        </w:trPr>
        <w:tc>
          <w:tcPr>
            <w:tcW w:w="3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67"/>
        </w:trPr>
        <w:tc>
          <w:tcPr>
            <w:tcW w:w="35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17</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Solésence, Inc.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000033"/>
        </w:rPr>
        <w:t>Exhibit 31.1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33"/>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33"/>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Exchange Act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33"/>
        </w:rPr>
        <w:t xml:space="preserve">I, </w:t>
      </w:r>
      <w:r>
        <w:rPr>
          <w:rFonts w:ascii="Times New Roman" w:cs="Times New Roman" w:eastAsia="Times New Roman" w:hAnsi="Times New Roman"/>
          <w:sz w:val="18"/>
          <w:szCs w:val="18"/>
          <w:color w:val="000000"/>
        </w:rPr>
        <w:t>Kevin Cureton</w:t>
      </w:r>
      <w:r>
        <w:rPr>
          <w:rFonts w:ascii="Times New Roman" w:cs="Times New Roman" w:eastAsia="Times New Roman" w:hAnsi="Times New Roman"/>
          <w:sz w:val="18"/>
          <w:szCs w:val="18"/>
          <w:color w:val="000033"/>
        </w:rPr>
        <w:t>, certify that:</w:t>
      </w:r>
    </w:p>
    <w:p>
      <w:pPr>
        <w:spacing w:after="0" w:line="225" w:lineRule="exact"/>
        <w:rPr>
          <w:sz w:val="20"/>
          <w:szCs w:val="20"/>
          <w:color w:val="auto"/>
        </w:rPr>
      </w:pPr>
    </w:p>
    <w:p>
      <w:pPr>
        <w:ind w:left="620" w:hanging="171"/>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Solésence, Inc.;</w:t>
      </w:r>
    </w:p>
    <w:p>
      <w:pPr>
        <w:spacing w:after="0" w:line="225" w:lineRule="exact"/>
        <w:rPr>
          <w:rFonts w:ascii="Times New Roman" w:cs="Times New Roman" w:eastAsia="Times New Roman" w:hAnsi="Times New Roman"/>
          <w:sz w:val="18"/>
          <w:szCs w:val="18"/>
          <w:color w:val="auto"/>
        </w:rPr>
      </w:pPr>
    </w:p>
    <w:p>
      <w:pPr>
        <w:ind w:right="140" w:firstLine="449"/>
        <w:spacing w:after="0" w:line="282" w:lineRule="auto"/>
        <w:tabs>
          <w:tab w:leader="none" w:pos="6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00" w:firstLine="449"/>
        <w:spacing w:after="0" w:line="282" w:lineRule="auto"/>
        <w:tabs>
          <w:tab w:leader="none" w:pos="6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60" w:firstLine="449"/>
        <w:spacing w:after="0" w:line="266" w:lineRule="auto"/>
        <w:tabs>
          <w:tab w:leader="none" w:pos="6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40" w:right="80" w:firstLine="449"/>
        <w:spacing w:after="0" w:line="266" w:lineRule="auto"/>
        <w:tabs>
          <w:tab w:leader="none" w:pos="112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40" w:right="280" w:firstLine="449"/>
        <w:spacing w:after="0" w:line="266" w:lineRule="auto"/>
        <w:tabs>
          <w:tab w:leader="none" w:pos="11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40" w:right="400" w:firstLine="449"/>
        <w:spacing w:after="0" w:line="282" w:lineRule="auto"/>
        <w:tabs>
          <w:tab w:leader="none" w:pos="112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40" w:right="360" w:firstLine="449"/>
        <w:spacing w:after="0" w:line="266" w:lineRule="auto"/>
        <w:tabs>
          <w:tab w:leader="none" w:pos="11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449"/>
        <w:spacing w:after="0" w:line="282" w:lineRule="auto"/>
        <w:tabs>
          <w:tab w:leader="none" w:pos="6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440" w:right="640" w:firstLine="449"/>
        <w:spacing w:after="0" w:line="282" w:lineRule="auto"/>
        <w:tabs>
          <w:tab w:leader="none" w:pos="111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40" w:right="320" w:firstLine="449"/>
        <w:spacing w:after="0" w:line="282" w:lineRule="auto"/>
        <w:tabs>
          <w:tab w:leader="none" w:pos="112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KEVIN CURETON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Kevin Cureton</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Solésence, Inc.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33"/>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33"/>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Exchange Act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Laura Riffner, certify that:</w:t>
      </w:r>
    </w:p>
    <w:p>
      <w:pPr>
        <w:spacing w:after="0" w:line="225" w:lineRule="exact"/>
        <w:rPr>
          <w:sz w:val="20"/>
          <w:szCs w:val="20"/>
          <w:color w:val="auto"/>
        </w:rPr>
      </w:pPr>
    </w:p>
    <w:p>
      <w:pPr>
        <w:ind w:left="620" w:hanging="171"/>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Solésence, Inc.;</w:t>
      </w:r>
    </w:p>
    <w:p>
      <w:pPr>
        <w:spacing w:after="0" w:line="225" w:lineRule="exact"/>
        <w:rPr>
          <w:rFonts w:ascii="Times New Roman" w:cs="Times New Roman" w:eastAsia="Times New Roman" w:hAnsi="Times New Roman"/>
          <w:sz w:val="18"/>
          <w:szCs w:val="18"/>
          <w:color w:val="auto"/>
        </w:rPr>
      </w:pPr>
    </w:p>
    <w:p>
      <w:pPr>
        <w:ind w:right="140" w:firstLine="449"/>
        <w:spacing w:after="0" w:line="282" w:lineRule="auto"/>
        <w:tabs>
          <w:tab w:leader="none" w:pos="6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00" w:firstLine="449"/>
        <w:spacing w:after="0" w:line="282" w:lineRule="auto"/>
        <w:tabs>
          <w:tab w:leader="none" w:pos="6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60" w:firstLine="449"/>
        <w:spacing w:after="0" w:line="266" w:lineRule="auto"/>
        <w:tabs>
          <w:tab w:leader="none" w:pos="6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40" w:right="80" w:firstLine="449"/>
        <w:spacing w:after="0" w:line="266" w:lineRule="auto"/>
        <w:tabs>
          <w:tab w:leader="none" w:pos="11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40" w:right="280" w:firstLine="449"/>
        <w:spacing w:after="0" w:line="266" w:lineRule="auto"/>
        <w:tabs>
          <w:tab w:leader="none" w:pos="11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40" w:right="400" w:firstLine="449"/>
        <w:spacing w:after="0" w:line="282" w:lineRule="auto"/>
        <w:tabs>
          <w:tab w:leader="none" w:pos="11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40" w:right="360" w:firstLine="449"/>
        <w:spacing w:after="0" w:line="266" w:lineRule="auto"/>
        <w:tabs>
          <w:tab w:leader="none" w:pos="11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449"/>
        <w:spacing w:after="0" w:line="282" w:lineRule="auto"/>
        <w:tabs>
          <w:tab w:leader="none" w:pos="6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440" w:right="640" w:firstLine="449"/>
        <w:spacing w:after="0" w:line="282"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40" w:right="320" w:firstLine="449"/>
        <w:spacing w:after="0" w:line="282" w:lineRule="auto"/>
        <w:tabs>
          <w:tab w:leader="none" w:pos="11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LAURA RIFFNER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20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Laura Riffner</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Solésence, Inc.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Solésence, Inc. (the “Company”) on Form 10-Q for the first quarter ending March 31, 2026 as filed with the Securities and Exchange Commission on the date hereof (the “Report”), I, Kevin Cureton, Chief Executive Officer certify, pursuant to 18 U.S.C. § 1350, as adopted pursuant to Section 906 of the Sarbanes-Oxley Act of 2002, that, to my knowledge:</w:t>
      </w:r>
    </w:p>
    <w:p>
      <w:pPr>
        <w:spacing w:after="0" w:line="176" w:lineRule="exact"/>
        <w:rPr>
          <w:sz w:val="20"/>
          <w:szCs w:val="20"/>
          <w:color w:val="auto"/>
        </w:rPr>
      </w:pPr>
    </w:p>
    <w:p>
      <w:pPr>
        <w:ind w:left="620" w:hanging="171"/>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KEVIN CURETON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860"/>
        <w:spacing w:after="0"/>
        <w:rPr>
          <w:sz w:val="20"/>
          <w:szCs w:val="20"/>
          <w:color w:val="auto"/>
        </w:rPr>
      </w:pPr>
      <w:r>
        <w:rPr>
          <w:rFonts w:ascii="Times New Roman" w:cs="Times New Roman" w:eastAsia="Times New Roman" w:hAnsi="Times New Roman"/>
          <w:sz w:val="18"/>
          <w:szCs w:val="18"/>
          <w:color w:val="auto"/>
        </w:rPr>
        <w:t>Kevin Cureton</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Solésence, Inc. (the “Company”) on Form 10-Q for the first quarter ending March 31, 2026 as filed with the Securities and Exchange Commission on the date hereof (the “Report”), I, Laura Riffner, Chief Financial Officer certify, pursuant to 18 U.S.C. § 1350, as adopted pursuant to Section 906 of the Sarbanes-Oxley Act of 2002, that, to my knowledge:</w:t>
      </w:r>
    </w:p>
    <w:p>
      <w:pPr>
        <w:spacing w:after="0" w:line="176" w:lineRule="exact"/>
        <w:rPr>
          <w:sz w:val="20"/>
          <w:szCs w:val="20"/>
          <w:color w:val="auto"/>
        </w:rPr>
      </w:pPr>
    </w:p>
    <w:p>
      <w:pPr>
        <w:ind w:left="620" w:hanging="171"/>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449"/>
        <w:spacing w:after="0" w:line="500" w:lineRule="auto"/>
        <w:tabs>
          <w:tab w:leader="none" w:pos="6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Date: May 12, 2026</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LAURA RIFFNER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Laura Riffner</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2026-05-12T15:36:33Z</dcterms:created>
  <dcterms:modified xsi:type="dcterms:W3CDTF">2026-05-12T15:36:33Z</dcterms:modified>
</cp:coreProperties>
</file>