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7469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46950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WHITMORE R JANET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1319 MARQUETTE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SOLESENCE,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12/24/2025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ROMEOVILLE</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60446</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2,084,198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12/24/2025</w:t>
            </w:r>
          </w:p>
        </w:tc>
        <w:tc>
          <w:tcPr>
            <w:tcW w:w="14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12/24/2025</w:t>
            </w:r>
          </w:p>
        </w:tc>
        <w:tc>
          <w:tcPr>
            <w:tcW w:w="14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w:t>
            </w:r>
          </w:p>
        </w:tc>
        <w:tc>
          <w:tcPr>
            <w:tcW w:w="12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2,085,698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12/24/2025</w:t>
            </w:r>
          </w:p>
        </w:tc>
        <w:tc>
          <w:tcPr>
            <w:tcW w:w="14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12/24/2025</w:t>
            </w:r>
          </w:p>
        </w:tc>
        <w:tc>
          <w:tcPr>
            <w:tcW w:w="140" w:type="dxa"/>
            <w:vAlign w:val="bottom"/>
          </w:tcPr>
          <w:p>
            <w:pPr>
              <w:spacing w:after="0"/>
              <w:rPr>
                <w:sz w:val="22"/>
                <w:szCs w:val="22"/>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1.9216</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2,086,698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gridSpan w:val="2"/>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jc w:val="center"/>
              <w:ind w:right="36"/>
              <w:spacing w:after="0"/>
              <w:rPr>
                <w:sz w:val="20"/>
                <w:szCs w:val="20"/>
                <w:color w:val="auto"/>
              </w:rPr>
            </w:pPr>
            <w:r>
              <w:rPr>
                <w:rFonts w:ascii="Times New Roman" w:cs="Times New Roman" w:eastAsia="Times New Roman" w:hAnsi="Times New Roman"/>
                <w:sz w:val="11"/>
                <w:szCs w:val="11"/>
                <w:color w:val="008000"/>
              </w:rPr>
              <w:t>(2)(3)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jc w:val="center"/>
              <w:ind w:left="159"/>
              <w:spacing w:after="0" w:line="129" w:lineRule="exact"/>
              <w:rPr>
                <w:sz w:val="20"/>
                <w:szCs w:val="20"/>
                <w:color w:val="auto"/>
              </w:rPr>
            </w:pPr>
            <w:r>
              <w:rPr>
                <w:rFonts w:ascii="Times New Roman" w:cs="Times New Roman" w:eastAsia="Times New Roman" w:hAnsi="Times New Roman"/>
                <w:sz w:val="13"/>
                <w:szCs w:val="13"/>
                <w:color w:val="0000FF"/>
                <w:w w:val="94"/>
              </w:rPr>
              <w:t>20,030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1.85</w:t>
            </w:r>
            <w:r>
              <w:rPr>
                <w:rFonts w:ascii="Times New Roman" w:cs="Times New Roman" w:eastAsia="Times New Roman" w:hAnsi="Times New Roman"/>
                <w:sz w:val="21"/>
                <w:szCs w:val="21"/>
                <w:color w:val="008000"/>
                <w:w w:val="95"/>
                <w:vertAlign w:val="superscript"/>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gridSpan w:val="2"/>
          </w:tcPr>
          <w:p>
            <w:pPr>
              <w:jc w:val="center"/>
              <w:ind w:right="59"/>
              <w:spacing w:after="0"/>
              <w:rPr>
                <w:sz w:val="20"/>
                <w:szCs w:val="20"/>
                <w:color w:val="auto"/>
              </w:rPr>
            </w:pPr>
            <w:r>
              <w:rPr>
                <w:rFonts w:ascii="Times New Roman" w:cs="Times New Roman" w:eastAsia="Times New Roman" w:hAnsi="Times New Roman"/>
                <w:sz w:val="13"/>
                <w:szCs w:val="13"/>
                <w:color w:val="0000FF"/>
              </w:rPr>
              <w:t>11/17/2016</w:t>
            </w: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11/17/2026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9"/>
              </w:rPr>
              <w:t>2,000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rPr>
              <w:t>2,000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4.17</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gridSpan w:val="2"/>
          </w:tcPr>
          <w:p>
            <w:pPr>
              <w:jc w:val="center"/>
              <w:ind w:right="59"/>
              <w:spacing w:after="0" w:line="207" w:lineRule="exact"/>
              <w:rPr>
                <w:sz w:val="20"/>
                <w:szCs w:val="20"/>
                <w:color w:val="auto"/>
              </w:rPr>
            </w:pPr>
            <w:r>
              <w:rPr>
                <w:rFonts w:ascii="Times New Roman" w:cs="Times New Roman" w:eastAsia="Times New Roman" w:hAnsi="Times New Roman"/>
                <w:sz w:val="13"/>
                <w:szCs w:val="13"/>
                <w:color w:val="0000FF"/>
                <w:w w:val="95"/>
              </w:rPr>
              <w:t>12/28/2022</w:t>
            </w:r>
            <w:r>
              <w:rPr>
                <w:rFonts w:ascii="Times New Roman" w:cs="Times New Roman" w:eastAsia="Times New Roman" w:hAnsi="Times New Roman"/>
                <w:sz w:val="21"/>
                <w:szCs w:val="21"/>
                <w:color w:val="008000"/>
                <w:w w:val="95"/>
                <w:vertAlign w:val="superscript"/>
              </w:rPr>
              <w:t>(5)</w:t>
            </w: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12/28/2028</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1.165</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gridSpan w:val="2"/>
          </w:tcPr>
          <w:p>
            <w:pPr>
              <w:jc w:val="center"/>
              <w:ind w:right="59"/>
              <w:spacing w:after="0" w:line="207" w:lineRule="exact"/>
              <w:rPr>
                <w:sz w:val="20"/>
                <w:szCs w:val="20"/>
                <w:color w:val="auto"/>
              </w:rPr>
            </w:pPr>
            <w:r>
              <w:rPr>
                <w:rFonts w:ascii="Times New Roman" w:cs="Times New Roman" w:eastAsia="Times New Roman" w:hAnsi="Times New Roman"/>
                <w:sz w:val="13"/>
                <w:szCs w:val="13"/>
                <w:color w:val="0000FF"/>
                <w:w w:val="95"/>
              </w:rPr>
              <w:t>12/20/2023</w:t>
            </w:r>
            <w:r>
              <w:rPr>
                <w:rFonts w:ascii="Times New Roman" w:cs="Times New Roman" w:eastAsia="Times New Roman" w:hAnsi="Times New Roman"/>
                <w:sz w:val="21"/>
                <w:szCs w:val="21"/>
                <w:color w:val="008000"/>
                <w:w w:val="95"/>
                <w:vertAlign w:val="superscript"/>
              </w:rPr>
              <w:t>(5)</w:t>
            </w: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12/20/2029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13,334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4"/>
              </w:rPr>
              <w:t>13,334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0.61</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gridSpan w:val="2"/>
          </w:tcPr>
          <w:p>
            <w:pPr>
              <w:jc w:val="center"/>
              <w:ind w:right="59"/>
              <w:spacing w:after="0" w:line="207" w:lineRule="exact"/>
              <w:rPr>
                <w:sz w:val="20"/>
                <w:szCs w:val="20"/>
                <w:color w:val="auto"/>
              </w:rPr>
            </w:pPr>
            <w:r>
              <w:rPr>
                <w:rFonts w:ascii="Times New Roman" w:cs="Times New Roman" w:eastAsia="Times New Roman" w:hAnsi="Times New Roman"/>
                <w:sz w:val="13"/>
                <w:szCs w:val="13"/>
                <w:color w:val="0000FF"/>
                <w:w w:val="95"/>
              </w:rPr>
              <w:t>12/27/2024</w:t>
            </w:r>
            <w:r>
              <w:rPr>
                <w:rFonts w:ascii="Times New Roman" w:cs="Times New Roman" w:eastAsia="Times New Roman" w:hAnsi="Times New Roman"/>
                <w:sz w:val="21"/>
                <w:szCs w:val="21"/>
                <w:color w:val="008000"/>
                <w:w w:val="95"/>
                <w:vertAlign w:val="superscript"/>
              </w:rPr>
              <w:t>(5)</w:t>
            </w: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12/27/2030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12,600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4"/>
              </w:rPr>
              <w:t>12,600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gridSpan w:val="2"/>
          </w:tcPr>
          <w:p>
            <w:pPr>
              <w:jc w:val="center"/>
              <w:ind w:right="59"/>
              <w:spacing w:after="0" w:line="207" w:lineRule="exact"/>
              <w:rPr>
                <w:sz w:val="20"/>
                <w:szCs w:val="20"/>
                <w:color w:val="auto"/>
              </w:rPr>
            </w:pPr>
            <w:r>
              <w:rPr>
                <w:rFonts w:ascii="Times New Roman" w:cs="Times New Roman" w:eastAsia="Times New Roman" w:hAnsi="Times New Roman"/>
                <w:sz w:val="13"/>
                <w:szCs w:val="13"/>
                <w:color w:val="0000FF"/>
                <w:w w:val="95"/>
              </w:rPr>
              <w:t>12/31/2025</w:t>
            </w:r>
            <w:r>
              <w:rPr>
                <w:rFonts w:ascii="Times New Roman" w:cs="Times New Roman" w:eastAsia="Times New Roman" w:hAnsi="Times New Roman"/>
                <w:sz w:val="21"/>
                <w:szCs w:val="21"/>
                <w:color w:val="008000"/>
                <w:w w:val="95"/>
                <w:vertAlign w:val="superscript"/>
              </w:rPr>
              <w:t>(5)</w:t>
            </w: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12/31/2031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4"/>
              </w:rPr>
              <w:t>12,000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common stock represents the right to receive one share of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common stock becomes payable upon the reporting person's termination of service as a director of the Company.</w:t>
      </w:r>
    </w:p>
    <w:p>
      <w:pPr>
        <w:spacing w:after="0" w:line="44" w:lineRule="exact"/>
        <w:rPr>
          <w:rFonts w:ascii="Times New Roman" w:cs="Times New Roman" w:eastAsia="Times New Roman" w:hAnsi="Times New Roman"/>
          <w:sz w:val="13"/>
          <w:szCs w:val="13"/>
          <w:color w:val="008000"/>
        </w:rPr>
      </w:pPr>
    </w:p>
    <w:p>
      <w:pPr>
        <w:ind w:left="40" w:right="7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such plan, the reporting person elected to defer receipt of such shares and receive a cumulative total of 20,030 shares of deferred common stock which will all be accounted for under the Company's Non-Employee Director Deferred Compensaion Plan.</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appreciation rights payable upon the reporting person's termination of service as a director of the Company were terminated, with stock options issued at identical exercise prices to the conversion prices of the respective stock appreciation rights. These 2000 shares were issued with an exercise price of $1.85.</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restrictions, beginning on this date, options vest in three equal annual installments.</w:t>
      </w:r>
    </w:p>
    <w:p>
      <w:pPr>
        <w:sectPr>
          <w:pgSz w:w="11900" w:h="16838" w:orient="portrait"/>
          <w:cols w:equalWidth="0" w:num="1">
            <w:col w:w="11080"/>
          </w:cols>
          <w:pgMar w:left="460" w:top="218" w:right="359" w:bottom="0" w:gutter="0" w:footer="0" w:header="0"/>
          <w:type w:val="continuous"/>
        </w:sectPr>
      </w:pPr>
    </w:p>
    <w:p>
      <w:pPr>
        <w:spacing w:after="0" w:line="7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Laura Riffner, Under UPA</w:t>
      </w:r>
      <w:r>
        <w:rPr>
          <w:sz w:val="20"/>
          <w:szCs w:val="20"/>
          <w:color w:val="auto"/>
        </w:rPr>
        <w:tab/>
      </w:r>
      <w:r>
        <w:rPr>
          <w:rFonts w:ascii="Times New Roman" w:cs="Times New Roman" w:eastAsia="Times New Roman" w:hAnsi="Times New Roman"/>
          <w:sz w:val="16"/>
          <w:szCs w:val="16"/>
          <w:color w:val="0000FF"/>
        </w:rPr>
        <w:t>12/30/2025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-8890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for R. Janet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-8890</wp:posOffset>
            </wp:positionV>
            <wp:extent cx="953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4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7"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73970" TargetMode="External"/><Relationship Id="rId14" Type="http://schemas.openxmlformats.org/officeDocument/2006/relationships/hyperlink" Target="http://www.sec.gov/cgi-bin/browse-edgar?action=getcompany&amp;CIK=00008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2025-12-30T08:37:07Z</dcterms:created>
  <dcterms:modified xsi:type="dcterms:W3CDTF">2025-12-30T08:37:07Z</dcterms:modified>
</cp:coreProperties>
</file>