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lsn-10q_063026.htm"/>
      <w:bookmarkStart w:id="1" w:name="ksslsn10q_063026"/>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8"/>
        </w:rPr>
        <w:t>UNITED STATES</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xdx_902_edei--DocumentQuarterlyReport_c2"/>
      <w:bookmarkEnd w:id="3"/>
      <w:r>
        <w:rPr>
          <w:caps w:val="false"/>
          <w:smallCaps w:val="false"/>
        </w:rPr>
        <w:t>☒ </w:t>
      </w:r>
      <w:r>
        <w:rPr>
          <w:rFonts w:ascii="Times New Roman;Times;Serif" w:hAnsi="Times New Roman;Times;Serif"/>
          <w:b/>
          <w:i w:val="false"/>
          <w:caps w:val="false"/>
          <w:smallCaps w:val="false"/>
          <w:sz w:val="24"/>
        </w:rPr>
        <w:t>QUARTERLY REPORT 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bookmarkStart w:id="4" w:name="xdx_909_edei--DocumentPeriodEndDate_c202"/>
      <w:bookmarkEnd w:id="4"/>
      <w:r>
        <w:rPr>
          <w:rFonts w:ascii="Times New Roman;Times;Serif" w:hAnsi="Times New Roman;Times;Serif"/>
          <w:b w:val="false"/>
          <w:i w:val="false"/>
          <w:caps w:val="false"/>
          <w:smallCaps w:val="false"/>
          <w:sz w:val="20"/>
        </w:rPr>
        <w:t>June 30,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5" w:name="xdx_907_edei--DocumentTransitionReport_c"/>
      <w:bookmarkEnd w:id="5"/>
      <w:r>
        <w:rPr>
          <w:caps w:val="false"/>
          <w:smallCaps w:val="false"/>
        </w:rPr>
        <w:t>☐ </w:t>
      </w:r>
      <w:r>
        <w:rPr>
          <w:rFonts w:ascii="Times New Roman;Times;Serif" w:hAnsi="Times New Roman;Times;Serif"/>
          <w:b/>
          <w:i w:val="false"/>
          <w:caps w:val="false"/>
          <w:smallCaps w:val="false"/>
          <w:sz w:val="24"/>
        </w:rPr>
        <w:t xml:space="preserve">TRANSITION REPORT PURSUANT TO SECTION 13 OR 15(d) </w:t>
      </w:r>
      <w:r>
        <w:rPr>
          <w:rFonts w:ascii="Times New Roman;Times;Serif" w:hAnsi="Times New Roman;Times;Serif"/>
          <w:b/>
          <w:i w:val="false"/>
          <w:caps/>
          <w:sz w:val="24"/>
        </w:rPr>
        <w:t xml:space="preserve">of </w:t>
      </w:r>
      <w:r>
        <w:rPr>
          <w:rFonts w:ascii="Times New Roman;Times;Serif" w:hAnsi="Times New Roman;Times;Serif"/>
          <w:b/>
          <w:i w:val="false"/>
          <w:caps w:val="false"/>
          <w:smallCaps w:val="false"/>
          <w:sz w:val="24"/>
        </w:rPr>
        <w:br/>
      </w:r>
      <w:r>
        <w:rPr>
          <w:rFonts w:ascii="Times New Roman;Times;Serif" w:hAnsi="Times New Roman;Times;Serif"/>
          <w:b/>
          <w:i w:val="false"/>
          <w:caps/>
          <w:sz w:val="24"/>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to _______ to _______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6" w:name="xdx_90F_edei--EntityFileNumber_c20260101"/>
      <w:bookmarkEnd w:id="6"/>
      <w:r>
        <w:rPr>
          <w:rFonts w:ascii="Times New Roman;Times;Serif" w:hAnsi="Times New Roman;Times;Serif"/>
          <w:b w:val="false"/>
          <w:i w:val="false"/>
          <w:caps w:val="false"/>
          <w:smallCaps w:val="false"/>
          <w:sz w:val="20"/>
        </w:rPr>
        <w:t>001-42589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7" w:name="xdx_905_edei--EntityRegistrantName_dxL_c"/>
      <w:bookmarkEnd w:id="7"/>
      <w:r>
        <w:rPr>
          <w:rFonts w:ascii="Times New Roman;Times;Serif" w:hAnsi="Times New Roman;Times;Serif"/>
          <w:b/>
          <w:i w:val="false"/>
          <w:caps w:val="false"/>
          <w:smallCaps w:val="false"/>
          <w:sz w:val="48"/>
        </w:rPr>
        <w:t xml:space="preserve">Solésence,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2495"/>
        <w:gridCol w:w="1535"/>
      </w:tblGrid>
      <w:tr>
        <w:trPr/>
        <w:tc>
          <w:tcPr>
            <w:tcW w:w="2495" w:type="dxa"/>
            <w:tcBorders/>
            <w:vAlign w:val="center"/>
          </w:tcPr>
          <w:p>
            <w:pPr>
              <w:pStyle w:val="TableContents"/>
              <w:bidi w:val="0"/>
              <w:spacing w:before="0" w:after="283"/>
              <w:jc w:val="center"/>
              <w:rPr>
                <w:rFonts w:ascii="Times New Roman;Times;Serif" w:hAnsi="Times New Roman;Times;Serif"/>
                <w:b/>
                <w:sz w:val="20"/>
              </w:rPr>
            </w:pPr>
            <w:bookmarkStart w:id="8" w:name="xdx_90A_edei--EntityIncorporationStateCo"/>
            <w:bookmarkEnd w:id="8"/>
            <w:r>
              <w:rPr>
                <w:rFonts w:ascii="Times New Roman;Times;Serif" w:hAnsi="Times New Roman;Times;Serif"/>
                <w:b/>
                <w:sz w:val="20"/>
              </w:rPr>
              <w:t>Delaware</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9" w:name="xdx_905_edei--EntityTaxIdentificationNum"/>
            <w:bookmarkEnd w:id="9"/>
            <w:r>
              <w:rPr>
                <w:rFonts w:ascii="Times New Roman;Times;Serif" w:hAnsi="Times New Roman;Times;Serif"/>
                <w:b/>
                <w:sz w:val="20"/>
              </w:rPr>
              <w:t>36-3687863</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 or organization)</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5_edei--EntityAddressAddressLine1_"/>
      <w:bookmarkEnd w:id="10"/>
      <w:r>
        <w:rPr>
          <w:rFonts w:ascii="Times New Roman;Times;Serif" w:hAnsi="Times New Roman;Times;Serif"/>
          <w:b/>
          <w:i w:val="false"/>
          <w:caps w:val="false"/>
          <w:smallCaps w:val="false"/>
          <w:sz w:val="20"/>
        </w:rPr>
        <w:t xml:space="preserve">1319 Marquette Drive, </w:t>
      </w:r>
      <w:bookmarkStart w:id="11" w:name="xdx_904_edei--EntityAddressCityOrTown_c2"/>
      <w:bookmarkEnd w:id="11"/>
      <w:r>
        <w:rPr>
          <w:rFonts w:ascii="Times New Roman;Times;Serif" w:hAnsi="Times New Roman;Times;Serif"/>
          <w:b/>
          <w:i w:val="false"/>
          <w:caps w:val="false"/>
          <w:smallCaps w:val="false"/>
          <w:sz w:val="20"/>
        </w:rPr>
        <w:t xml:space="preserve">Romeoville, </w:t>
      </w:r>
      <w:bookmarkStart w:id="12" w:name="xdx_904_edei--EntityAddressStateOrProvin"/>
      <w:bookmarkEnd w:id="12"/>
      <w:r>
        <w:rPr>
          <w:rFonts w:ascii="Times New Roman;Times;Serif" w:hAnsi="Times New Roman;Times;Serif"/>
          <w:b/>
          <w:i w:val="false"/>
          <w:caps w:val="false"/>
          <w:smallCaps w:val="false"/>
          <w:sz w:val="20"/>
        </w:rPr>
        <w:t xml:space="preserve">Illinois </w:t>
      </w:r>
      <w:bookmarkStart w:id="13" w:name="xdx_904_edei--EntityAddressPostalZipCode"/>
      <w:bookmarkEnd w:id="13"/>
      <w:r>
        <w:rPr>
          <w:rFonts w:ascii="Times New Roman;Times;Serif" w:hAnsi="Times New Roman;Times;Serif"/>
          <w:b/>
          <w:i w:val="false"/>
          <w:caps w:val="false"/>
          <w:smallCaps w:val="false"/>
          <w:sz w:val="20"/>
        </w:rPr>
        <w:t>60446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4" w:name="xdx_90B_edei--CityAreaCode_c20260101__20"/>
      <w:bookmarkEnd w:id="14"/>
      <w:r>
        <w:rPr>
          <w:rFonts w:ascii="Times New Roman;Times;Serif" w:hAnsi="Times New Roman;Times;Serif"/>
          <w:b/>
          <w:i w:val="false"/>
          <w:caps w:val="false"/>
          <w:smallCaps w:val="false"/>
          <w:sz w:val="20"/>
        </w:rPr>
        <w:t xml:space="preserve">(630) </w:t>
      </w:r>
      <w:bookmarkStart w:id="15" w:name="xdx_900_edei--LocalPhoneNumber_c20260101"/>
      <w:bookmarkEnd w:id="15"/>
      <w:r>
        <w:rPr>
          <w:rFonts w:ascii="Times New Roman;Times;Serif" w:hAnsi="Times New Roman;Times;Serif"/>
          <w:b/>
          <w:i w:val="false"/>
          <w:caps w:val="false"/>
          <w:smallCaps w:val="false"/>
          <w:sz w:val="20"/>
        </w:rPr>
        <w:t>771-6708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firstLine="72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6" w:name="xdx_90A_edei--Security12bTitle_c20260101"/>
            <w:bookmarkEnd w:id="16"/>
            <w:r>
              <w:rPr>
                <w:rFonts w:ascii="Times New Roman;Times;Serif" w:hAnsi="Times New Roman;Times;Serif"/>
                <w:sz w:val="20"/>
              </w:rPr>
              <w:t>Common Stock, $0.01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7" w:name="xdx_908_edei--TradingSymbol_c20260101__2"/>
            <w:bookmarkEnd w:id="17"/>
            <w:r>
              <w:rPr>
                <w:rFonts w:ascii="Times New Roman;Times;Serif" w:hAnsi="Times New Roman;Times;Serif"/>
                <w:sz w:val="20"/>
              </w:rPr>
              <w:t>SLSN</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18" w:name="xdx_904_edei--SecurityExchangeName_c2026"/>
            <w:bookmarkEnd w:id="18"/>
            <w:r>
              <w:rPr>
                <w:rFonts w:ascii="Times New Roman;Times;Serif" w:hAnsi="Times New Roman;Times;Serif"/>
                <w:sz w:val="20"/>
              </w:rPr>
              <w:t>NASDAQ Capital Market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19" w:name="xdx_900_edei--EntityCurrentReportingStat"/>
      <w:bookmarkEnd w:id="19"/>
      <w:r>
        <w:rPr>
          <w:rFonts w:ascii="Times New Roman;Times;Serif" w:hAnsi="Times New Roman;Times;Serif"/>
          <w:b w:val="false"/>
          <w:i w:val="false"/>
          <w:caps w:val="false"/>
          <w:smallCaps w:val="false"/>
          <w:sz w:val="20"/>
        </w:rPr>
        <w:t>Yes ☑  No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bookmarkStart w:id="20" w:name="xdx_900_edei--EntityInteractiveDataCurre"/>
      <w:bookmarkEnd w:id="20"/>
      <w:r>
        <w:rPr>
          <w:rFonts w:ascii="Times New Roman;Times;Serif" w:hAnsi="Times New Roman;Times;Serif"/>
          <w:b w:val="false"/>
          <w:i w:val="false"/>
          <w:caps w:val="false"/>
          <w:smallCaps w:val="false"/>
          <w:sz w:val="20"/>
        </w:rPr>
        <w:t>Yes ☑  No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pStyle w:val="TextBody"/>
        <w:bidi w:val="0"/>
        <w:spacing w:before="0" w:after="0"/>
        <w:ind w:left="0" w:right="0" w:firstLine="72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 ☐</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w:t>
            </w:r>
          </w:p>
        </w:tc>
      </w:tr>
      <w:tr>
        <w:trPr/>
        <w:tc>
          <w:tcPr>
            <w:tcW w:w="20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rFonts w:ascii="Times New Roman;Times;Serif" w:hAnsi="Times New Roman;Times;Serif"/>
                <w:sz w:val="20"/>
              </w:rPr>
            </w:pPr>
            <w:bookmarkStart w:id="21" w:name="xdx_904_edei--EntityFilerCategory_c20260"/>
            <w:bookmarkEnd w:id="21"/>
            <w:r>
              <w:rPr>
                <w:rFonts w:ascii="Times New Roman;Times;Serif" w:hAnsi="Times New Roman;Times;Serif"/>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 </w:t>
            </w:r>
            <w:bookmarkStart w:id="22" w:name="xdx_909_edei--EntitySmallBusiness_c20260"/>
            <w:bookmarkEnd w:id="22"/>
            <w:r>
              <w:rPr>
                <w:rFonts w:ascii="Times New Roman;Times;Serif" w:hAnsi="Times New Roman;Times;Serif"/>
                <w:sz w:val="20"/>
              </w:rPr>
              <w:t>☑</w:t>
            </w:r>
          </w:p>
        </w:tc>
      </w:tr>
      <w:tr>
        <w:trPr/>
        <w:tc>
          <w:tcPr>
            <w:tcW w:w="20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 </w:t>
            </w:r>
            <w:bookmarkStart w:id="23" w:name="xdx_906_edei--EntityEmergingGrowthCompan"/>
            <w:bookmarkEnd w:id="23"/>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w:t>
      </w:r>
      <w:bookmarkStart w:id="24" w:name="xdx_904_edei--EntityShellCompany_c202601"/>
      <w:bookmarkEnd w:id="24"/>
      <w:r>
        <w:rPr>
          <w:rFonts w:ascii="Times New Roman;Times;Serif" w:hAnsi="Times New Roman;Times;Serif"/>
          <w:b w:val="false"/>
          <w:i w:val="false"/>
          <w:caps w:val="false"/>
          <w:smallCaps w:val="false"/>
          <w:sz w:val="20"/>
        </w:rPr>
        <w:t>No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19, 2026, there were </w:t>
      </w:r>
      <w:bookmarkStart w:id="25" w:name="xdx_90D_edei--EntityCommonStockSharesOut"/>
      <w:bookmarkEnd w:id="25"/>
      <w:r>
        <w:rPr>
          <w:rFonts w:ascii="Times New Roman;Times;Serif" w:hAnsi="Times New Roman;Times;Serif"/>
          <w:b w:val="false"/>
          <w:i w:val="false"/>
          <w:caps w:val="false"/>
          <w:smallCaps w:val="false"/>
          <w:sz w:val="20"/>
        </w:rPr>
        <w:t>70,647,045 shares outstanding of common stock, par value $.01, of the registrant.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60" w:after="240"/>
        <w:ind w:left="0" w:right="0" w:firstLine="720"/>
        <w:jc w:val="left"/>
        <w:rPr>
          <w:bdr w:val="single" w:sz="8" w:space="1" w:color="000000"/>
        </w:rPr>
      </w:pPr>
      <w:r>
        <w:rPr>
          <w:bdr w:val="single" w:sz="8"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SOLÉSENCE,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16"/>
        <w:gridCol w:w="8998"/>
        <w:gridCol w:w="516"/>
      </w:tblGrid>
      <w:tr>
        <w:trPr/>
        <w:tc>
          <w:tcPr>
            <w:tcW w:w="75"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pPr>
            <w:r>
              <w:rPr/>
              <w:t> </w:t>
            </w:r>
          </w:p>
        </w:tc>
        <w:tc>
          <w:tcPr>
            <w:tcW w:w="8998" w:type="dxa"/>
            <w:tcBorders/>
            <w:vAlign w:val="center"/>
          </w:tcPr>
          <w:p>
            <w:pPr>
              <w:pStyle w:val="TableContents"/>
              <w:bidi w:val="0"/>
              <w:spacing w:before="0" w:after="283"/>
              <w:jc w:val="left"/>
              <w:rPr/>
            </w:pPr>
            <w:r>
              <w:rPr/>
              <w:t> </w:t>
            </w:r>
          </w:p>
        </w:tc>
        <w:tc>
          <w:tcPr>
            <w:tcW w:w="516"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w:t>
            </w:r>
          </w:p>
        </w:tc>
      </w:tr>
      <w:tr>
        <w:trPr/>
        <w:tc>
          <w:tcPr>
            <w:tcW w:w="9689" w:type="dxa"/>
            <w:gridSpan w:val="3"/>
            <w:tcBorders/>
            <w:vAlign w:val="center"/>
          </w:tcPr>
          <w:p>
            <w:pPr>
              <w:pStyle w:val="TableContents"/>
              <w:bidi w:val="0"/>
              <w:spacing w:before="0" w:after="283"/>
              <w:jc w:val="left"/>
              <w:rPr/>
            </w:pPr>
            <w:hyperlink w:anchor="sol10qa001">
              <w:r>
                <w:rPr>
                  <w:rStyle w:val="InternetLink"/>
                  <w:rFonts w:ascii="Times New Roman;Times;Serif" w:hAnsi="Times New Roman;Times;Serif"/>
                  <w:sz w:val="20"/>
                </w:rPr>
                <w:t>PART I – FINANCIAL INFORMATION</w:t>
              </w:r>
            </w:hyperlink>
          </w:p>
        </w:tc>
        <w:tc>
          <w:tcPr>
            <w:tcW w:w="516"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center"/>
              <w:rPr/>
            </w:pPr>
            <w:r>
              <w:rPr/>
              <w:t> </w:t>
            </w:r>
          </w:p>
        </w:tc>
        <w:tc>
          <w:tcPr>
            <w:tcW w:w="616" w:type="dxa"/>
            <w:tcBorders/>
            <w:vAlign w:val="center"/>
          </w:tcPr>
          <w:p>
            <w:pPr>
              <w:pStyle w:val="TableContents"/>
              <w:bidi w:val="0"/>
              <w:spacing w:before="0" w:after="283"/>
              <w:jc w:val="left"/>
              <w:rPr/>
            </w:pPr>
            <w:hyperlink w:anchor="sol10qa002">
              <w:r>
                <w:rPr>
                  <w:rStyle w:val="InternetLink"/>
                  <w:rFonts w:ascii="Times New Roman;Times;Serif" w:hAnsi="Times New Roman;Times;Serif"/>
                  <w:sz w:val="20"/>
                </w:rPr>
                <w:t>Item 1.</w:t>
              </w:r>
            </w:hyperlink>
          </w:p>
        </w:tc>
        <w:tc>
          <w:tcPr>
            <w:tcW w:w="8998" w:type="dxa"/>
            <w:tcBorders/>
            <w:vAlign w:val="center"/>
          </w:tcPr>
          <w:p>
            <w:pPr>
              <w:pStyle w:val="TableContents"/>
              <w:bidi w:val="0"/>
              <w:spacing w:before="0" w:after="283"/>
              <w:jc w:val="left"/>
              <w:rPr/>
            </w:pPr>
            <w:hyperlink w:anchor="sol10qa002">
              <w:r>
                <w:rPr>
                  <w:rStyle w:val="InternetLink"/>
                  <w:rFonts w:ascii="Times New Roman;Times;Serif" w:hAnsi="Times New Roman;Times;Serif"/>
                  <w:sz w:val="20"/>
                </w:rPr>
                <w:t>Financial Statements</w:t>
              </w:r>
            </w:hyperlink>
          </w:p>
        </w:tc>
        <w:tc>
          <w:tcPr>
            <w:tcW w:w="5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75" w:type="dxa"/>
            <w:tcBorders/>
            <w:vAlign w:val="center"/>
          </w:tcPr>
          <w:p>
            <w:pPr>
              <w:pStyle w:val="TableContents"/>
              <w:bidi w:val="0"/>
              <w:spacing w:before="0" w:after="283"/>
              <w:jc w:val="center"/>
              <w:rPr/>
            </w:pPr>
            <w:r>
              <w:rPr/>
              <w:t> </w:t>
            </w:r>
          </w:p>
        </w:tc>
        <w:tc>
          <w:tcPr>
            <w:tcW w:w="616" w:type="dxa"/>
            <w:tcBorders/>
            <w:vAlign w:val="center"/>
          </w:tcPr>
          <w:p>
            <w:pPr>
              <w:pStyle w:val="TableContents"/>
              <w:bidi w:val="0"/>
              <w:spacing w:before="0" w:after="283"/>
              <w:jc w:val="left"/>
              <w:rPr/>
            </w:pPr>
            <w:r>
              <w:rPr/>
              <w:t> </w:t>
            </w:r>
          </w:p>
        </w:tc>
        <w:tc>
          <w:tcPr>
            <w:tcW w:w="8998" w:type="dxa"/>
            <w:tcBorders/>
            <w:vAlign w:val="center"/>
          </w:tcPr>
          <w:p>
            <w:pPr>
              <w:pStyle w:val="TableContents"/>
              <w:bidi w:val="0"/>
              <w:spacing w:before="0" w:after="283"/>
              <w:jc w:val="left"/>
              <w:rPr/>
            </w:pPr>
            <w:hyperlink w:anchor="sol10qa003">
              <w:r>
                <w:rPr>
                  <w:rStyle w:val="InternetLink"/>
                  <w:rFonts w:ascii="Times New Roman;Times;Serif" w:hAnsi="Times New Roman;Times;Serif"/>
                  <w:sz w:val="20"/>
                </w:rPr>
                <w:t>Consolidated Balance Sheets (Unaudited Consolidated Condensed) as of June 30, 2026, and December 31, 2025</w:t>
              </w:r>
            </w:hyperlink>
          </w:p>
        </w:tc>
        <w:tc>
          <w:tcPr>
            <w:tcW w:w="5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75" w:type="dxa"/>
            <w:tcBorders/>
            <w:vAlign w:val="center"/>
          </w:tcPr>
          <w:p>
            <w:pPr>
              <w:pStyle w:val="TableContents"/>
              <w:bidi w:val="0"/>
              <w:spacing w:before="0" w:after="283"/>
              <w:jc w:val="center"/>
              <w:rPr/>
            </w:pPr>
            <w:r>
              <w:rPr/>
              <w:t> </w:t>
            </w:r>
          </w:p>
        </w:tc>
        <w:tc>
          <w:tcPr>
            <w:tcW w:w="616" w:type="dxa"/>
            <w:tcBorders/>
            <w:vAlign w:val="center"/>
          </w:tcPr>
          <w:p>
            <w:pPr>
              <w:pStyle w:val="TableContents"/>
              <w:bidi w:val="0"/>
              <w:spacing w:before="0" w:after="283"/>
              <w:jc w:val="left"/>
              <w:rPr/>
            </w:pPr>
            <w:r>
              <w:rPr/>
              <w:t> </w:t>
            </w:r>
          </w:p>
        </w:tc>
        <w:tc>
          <w:tcPr>
            <w:tcW w:w="8998" w:type="dxa"/>
            <w:tcBorders/>
            <w:vAlign w:val="center"/>
          </w:tcPr>
          <w:p>
            <w:pPr>
              <w:pStyle w:val="TableContents"/>
              <w:bidi w:val="0"/>
              <w:spacing w:before="0" w:after="283"/>
              <w:jc w:val="left"/>
              <w:rPr/>
            </w:pPr>
            <w:hyperlink w:anchor="sol10qa004">
              <w:r>
                <w:rPr>
                  <w:rStyle w:val="InternetLink"/>
                  <w:rFonts w:ascii="Times New Roman;Times;Serif" w:hAnsi="Times New Roman;Times;Serif"/>
                  <w:sz w:val="20"/>
                </w:rPr>
                <w:t>Consolidated Statements of Operations (Unaudited Consolidated Condensed) for the three and six months ended June 30, 2026, and 2025</w:t>
              </w:r>
            </w:hyperlink>
          </w:p>
        </w:tc>
        <w:tc>
          <w:tcPr>
            <w:tcW w:w="5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75" w:type="dxa"/>
            <w:tcBorders/>
            <w:vAlign w:val="center"/>
          </w:tcPr>
          <w:p>
            <w:pPr>
              <w:pStyle w:val="TableContents"/>
              <w:bidi w:val="0"/>
              <w:spacing w:before="0" w:after="283"/>
              <w:jc w:val="center"/>
              <w:rPr/>
            </w:pPr>
            <w:r>
              <w:rPr/>
              <w:t> </w:t>
            </w:r>
          </w:p>
        </w:tc>
        <w:tc>
          <w:tcPr>
            <w:tcW w:w="616" w:type="dxa"/>
            <w:tcBorders/>
            <w:vAlign w:val="center"/>
          </w:tcPr>
          <w:p>
            <w:pPr>
              <w:pStyle w:val="TableContents"/>
              <w:bidi w:val="0"/>
              <w:spacing w:before="0" w:after="283"/>
              <w:jc w:val="left"/>
              <w:rPr/>
            </w:pPr>
            <w:r>
              <w:rPr/>
              <w:t> </w:t>
            </w:r>
          </w:p>
        </w:tc>
        <w:tc>
          <w:tcPr>
            <w:tcW w:w="8998" w:type="dxa"/>
            <w:tcBorders/>
            <w:vAlign w:val="center"/>
          </w:tcPr>
          <w:p>
            <w:pPr>
              <w:pStyle w:val="TableContents"/>
              <w:bidi w:val="0"/>
              <w:spacing w:before="0" w:after="283"/>
              <w:jc w:val="left"/>
              <w:rPr/>
            </w:pPr>
            <w:hyperlink w:anchor="sol10qa005">
              <w:r>
                <w:rPr>
                  <w:rStyle w:val="InternetLink"/>
                  <w:rFonts w:ascii="Times New Roman;Times;Serif" w:hAnsi="Times New Roman;Times;Serif"/>
                  <w:sz w:val="20"/>
                </w:rPr>
                <w:t>Consolidated Statements of Shareholders’ Equity (Unaudited Consolidated Condensed) for the three and six months ended June 30, 2026, and 2025</w:t>
              </w:r>
            </w:hyperlink>
          </w:p>
        </w:tc>
        <w:tc>
          <w:tcPr>
            <w:tcW w:w="5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75" w:type="dxa"/>
            <w:tcBorders/>
            <w:vAlign w:val="center"/>
          </w:tcPr>
          <w:p>
            <w:pPr>
              <w:pStyle w:val="TableContents"/>
              <w:bidi w:val="0"/>
              <w:spacing w:before="0" w:after="283"/>
              <w:jc w:val="center"/>
              <w:rPr/>
            </w:pPr>
            <w:r>
              <w:rPr/>
              <w:t> </w:t>
            </w:r>
          </w:p>
        </w:tc>
        <w:tc>
          <w:tcPr>
            <w:tcW w:w="616" w:type="dxa"/>
            <w:tcBorders/>
            <w:vAlign w:val="center"/>
          </w:tcPr>
          <w:p>
            <w:pPr>
              <w:pStyle w:val="TableContents"/>
              <w:bidi w:val="0"/>
              <w:spacing w:before="0" w:after="283"/>
              <w:jc w:val="left"/>
              <w:rPr/>
            </w:pPr>
            <w:r>
              <w:rPr/>
              <w:t> </w:t>
            </w:r>
          </w:p>
        </w:tc>
        <w:tc>
          <w:tcPr>
            <w:tcW w:w="8998" w:type="dxa"/>
            <w:tcBorders/>
            <w:vAlign w:val="center"/>
          </w:tcPr>
          <w:p>
            <w:pPr>
              <w:pStyle w:val="TableContents"/>
              <w:bidi w:val="0"/>
              <w:spacing w:before="0" w:after="283"/>
              <w:jc w:val="left"/>
              <w:rPr/>
            </w:pPr>
            <w:hyperlink w:anchor="sol10qa006">
              <w:r>
                <w:rPr>
                  <w:rStyle w:val="InternetLink"/>
                  <w:rFonts w:ascii="Times New Roman;Times;Serif" w:hAnsi="Times New Roman;Times;Serif"/>
                  <w:sz w:val="20"/>
                </w:rPr>
                <w:t>Consolidated Statements of Cash Flows (Unaudited Consolidated Condensed) for the six months ended June 30, 2026, and 2025</w:t>
              </w:r>
            </w:hyperlink>
          </w:p>
        </w:tc>
        <w:tc>
          <w:tcPr>
            <w:tcW w:w="5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75" w:type="dxa"/>
            <w:tcBorders/>
            <w:vAlign w:val="center"/>
          </w:tcPr>
          <w:p>
            <w:pPr>
              <w:pStyle w:val="TableContents"/>
              <w:bidi w:val="0"/>
              <w:spacing w:before="0" w:after="283"/>
              <w:jc w:val="center"/>
              <w:rPr/>
            </w:pPr>
            <w:r>
              <w:rPr/>
              <w:t> </w:t>
            </w:r>
          </w:p>
        </w:tc>
        <w:tc>
          <w:tcPr>
            <w:tcW w:w="616" w:type="dxa"/>
            <w:tcBorders/>
            <w:vAlign w:val="center"/>
          </w:tcPr>
          <w:p>
            <w:pPr>
              <w:pStyle w:val="TableContents"/>
              <w:bidi w:val="0"/>
              <w:spacing w:before="0" w:after="283"/>
              <w:jc w:val="left"/>
              <w:rPr/>
            </w:pPr>
            <w:r>
              <w:rPr/>
              <w:t> </w:t>
            </w:r>
          </w:p>
        </w:tc>
        <w:tc>
          <w:tcPr>
            <w:tcW w:w="8998" w:type="dxa"/>
            <w:tcBorders/>
            <w:vAlign w:val="center"/>
          </w:tcPr>
          <w:p>
            <w:pPr>
              <w:pStyle w:val="TableContents"/>
              <w:bidi w:val="0"/>
              <w:spacing w:before="0" w:after="283"/>
              <w:jc w:val="left"/>
              <w:rPr/>
            </w:pPr>
            <w:hyperlink w:anchor="sol10qa007">
              <w:r>
                <w:rPr>
                  <w:rStyle w:val="InternetLink"/>
                  <w:rFonts w:ascii="Times New Roman;Times;Serif" w:hAnsi="Times New Roman;Times;Serif"/>
                  <w:sz w:val="20"/>
                </w:rPr>
                <w:t>Notes to Unaudited Consolidated Condensed Financial Statements</w:t>
              </w:r>
            </w:hyperlink>
          </w:p>
        </w:tc>
        <w:tc>
          <w:tcPr>
            <w:tcW w:w="5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75" w:type="dxa"/>
            <w:tcBorders/>
            <w:vAlign w:val="center"/>
          </w:tcPr>
          <w:p>
            <w:pPr>
              <w:pStyle w:val="TableContents"/>
              <w:bidi w:val="0"/>
              <w:spacing w:before="0" w:after="283"/>
              <w:jc w:val="center"/>
              <w:rPr/>
            </w:pPr>
            <w:r>
              <w:rPr/>
              <w:t> </w:t>
            </w:r>
          </w:p>
        </w:tc>
        <w:tc>
          <w:tcPr>
            <w:tcW w:w="616" w:type="dxa"/>
            <w:tcBorders/>
            <w:vAlign w:val="center"/>
          </w:tcPr>
          <w:p>
            <w:pPr>
              <w:pStyle w:val="TableContents"/>
              <w:bidi w:val="0"/>
              <w:spacing w:before="0" w:after="283"/>
              <w:jc w:val="left"/>
              <w:rPr/>
            </w:pPr>
            <w:r>
              <w:rPr/>
              <w:t> </w:t>
            </w:r>
          </w:p>
        </w:tc>
        <w:tc>
          <w:tcPr>
            <w:tcW w:w="8998" w:type="dxa"/>
            <w:tcBorders/>
            <w:vAlign w:val="center"/>
          </w:tcPr>
          <w:p>
            <w:pPr>
              <w:pStyle w:val="TableContents"/>
              <w:bidi w:val="0"/>
              <w:spacing w:before="0" w:after="283"/>
              <w:jc w:val="left"/>
              <w:rPr/>
            </w:pPr>
            <w:hyperlink w:anchor="sol10qa007a">
              <w:r>
                <w:rPr>
                  <w:rStyle w:val="InternetLink"/>
                  <w:rFonts w:ascii="Times New Roman;Times;Serif" w:hAnsi="Times New Roman;Times;Serif"/>
                  <w:sz w:val="20"/>
                </w:rPr>
                <w:t>Independent Accountant Review Not Complete</w:t>
              </w:r>
            </w:hyperlink>
          </w:p>
        </w:tc>
        <w:tc>
          <w:tcPr>
            <w:tcW w:w="5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75"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pPr>
            <w:hyperlink w:anchor="sol10qa008">
              <w:r>
                <w:rPr>
                  <w:rStyle w:val="InternetLink"/>
                  <w:rFonts w:ascii="Times New Roman;Times;Serif" w:hAnsi="Times New Roman;Times;Serif"/>
                  <w:sz w:val="20"/>
                </w:rPr>
                <w:t>Item 2.</w:t>
              </w:r>
            </w:hyperlink>
          </w:p>
        </w:tc>
        <w:tc>
          <w:tcPr>
            <w:tcW w:w="8998" w:type="dxa"/>
            <w:tcBorders/>
            <w:vAlign w:val="center"/>
          </w:tcPr>
          <w:p>
            <w:pPr>
              <w:pStyle w:val="TableContents"/>
              <w:bidi w:val="0"/>
              <w:spacing w:before="0" w:after="283"/>
              <w:jc w:val="left"/>
              <w:rPr/>
            </w:pPr>
            <w:hyperlink w:anchor="sol10qa008">
              <w:r>
                <w:rPr>
                  <w:rStyle w:val="InternetLink"/>
                  <w:rFonts w:ascii="Times New Roman;Times;Serif" w:hAnsi="Times New Roman;Times;Serif"/>
                  <w:sz w:val="20"/>
                </w:rPr>
                <w:t>Management’s Discussion and Analysis of Financial Condition and Results of Operations</w:t>
              </w:r>
            </w:hyperlink>
          </w:p>
        </w:tc>
        <w:tc>
          <w:tcPr>
            <w:tcW w:w="5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75"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pPr>
            <w:hyperlink w:anchor="sol10qa009">
              <w:r>
                <w:rPr>
                  <w:rStyle w:val="InternetLink"/>
                  <w:rFonts w:ascii="Times New Roman;Times;Serif" w:hAnsi="Times New Roman;Times;Serif"/>
                  <w:sz w:val="20"/>
                </w:rPr>
                <w:t>Item 3.</w:t>
              </w:r>
            </w:hyperlink>
          </w:p>
        </w:tc>
        <w:tc>
          <w:tcPr>
            <w:tcW w:w="8998" w:type="dxa"/>
            <w:tcBorders/>
            <w:vAlign w:val="center"/>
          </w:tcPr>
          <w:p>
            <w:pPr>
              <w:pStyle w:val="TableContents"/>
              <w:bidi w:val="0"/>
              <w:spacing w:before="0" w:after="283"/>
              <w:jc w:val="left"/>
              <w:rPr/>
            </w:pPr>
            <w:hyperlink w:anchor="sol10qa009">
              <w:r>
                <w:rPr>
                  <w:rStyle w:val="InternetLink"/>
                  <w:rFonts w:ascii="Times New Roman;Times;Serif" w:hAnsi="Times New Roman;Times;Serif"/>
                  <w:sz w:val="20"/>
                </w:rPr>
                <w:t>Quantitative and Qualitative Disclosures About Market Risk</w:t>
              </w:r>
            </w:hyperlink>
          </w:p>
        </w:tc>
        <w:tc>
          <w:tcPr>
            <w:tcW w:w="5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75"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pPr>
            <w:hyperlink w:anchor="sol10qa010">
              <w:r>
                <w:rPr>
                  <w:rStyle w:val="InternetLink"/>
                  <w:rFonts w:ascii="Times New Roman;Times;Serif" w:hAnsi="Times New Roman;Times;Serif"/>
                  <w:sz w:val="20"/>
                </w:rPr>
                <w:t>Item 4.</w:t>
              </w:r>
            </w:hyperlink>
          </w:p>
        </w:tc>
        <w:tc>
          <w:tcPr>
            <w:tcW w:w="8998" w:type="dxa"/>
            <w:tcBorders/>
            <w:vAlign w:val="center"/>
          </w:tcPr>
          <w:p>
            <w:pPr>
              <w:pStyle w:val="TableContents"/>
              <w:bidi w:val="0"/>
              <w:spacing w:before="0" w:after="283"/>
              <w:jc w:val="left"/>
              <w:rPr/>
            </w:pPr>
            <w:hyperlink w:anchor="sol10qa010">
              <w:r>
                <w:rPr>
                  <w:rStyle w:val="InternetLink"/>
                  <w:rFonts w:ascii="Times New Roman;Times;Serif" w:hAnsi="Times New Roman;Times;Serif"/>
                  <w:sz w:val="20"/>
                </w:rPr>
                <w:t>Controls and Procedures</w:t>
              </w:r>
            </w:hyperlink>
          </w:p>
        </w:tc>
        <w:tc>
          <w:tcPr>
            <w:tcW w:w="5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75"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pPr>
            <w:r>
              <w:rPr/>
              <w:t> </w:t>
            </w:r>
          </w:p>
        </w:tc>
        <w:tc>
          <w:tcPr>
            <w:tcW w:w="8998" w:type="dxa"/>
            <w:tcBorders/>
            <w:vAlign w:val="center"/>
          </w:tcPr>
          <w:p>
            <w:pPr>
              <w:pStyle w:val="TableContents"/>
              <w:bidi w:val="0"/>
              <w:spacing w:before="0" w:after="283"/>
              <w:jc w:val="left"/>
              <w:rPr/>
            </w:pPr>
            <w:hyperlink w:anchor="sol10qa011">
              <w:r>
                <w:rPr>
                  <w:rStyle w:val="InternetLink"/>
                  <w:rFonts w:ascii="Times New Roman;Times;Serif" w:hAnsi="Times New Roman;Times;Serif"/>
                  <w:b/>
                  <w:sz w:val="20"/>
                </w:rPr>
                <w:t>PART II – OTHER INFORMATION</w:t>
              </w:r>
            </w:hyperlink>
          </w:p>
        </w:tc>
        <w:tc>
          <w:tcPr>
            <w:tcW w:w="5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75"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pPr>
            <w:hyperlink w:anchor="sol10qa012">
              <w:r>
                <w:rPr>
                  <w:rStyle w:val="InternetLink"/>
                  <w:rFonts w:ascii="Times New Roman;Times;Serif" w:hAnsi="Times New Roman;Times;Serif"/>
                  <w:sz w:val="20"/>
                </w:rPr>
                <w:t>Item 1.</w:t>
              </w:r>
            </w:hyperlink>
          </w:p>
        </w:tc>
        <w:tc>
          <w:tcPr>
            <w:tcW w:w="8998" w:type="dxa"/>
            <w:tcBorders/>
            <w:vAlign w:val="center"/>
          </w:tcPr>
          <w:p>
            <w:pPr>
              <w:pStyle w:val="TableContents"/>
              <w:bidi w:val="0"/>
              <w:spacing w:before="0" w:after="283"/>
              <w:jc w:val="left"/>
              <w:rPr/>
            </w:pPr>
            <w:hyperlink w:anchor="sol10qa012">
              <w:r>
                <w:rPr>
                  <w:rStyle w:val="InternetLink"/>
                  <w:rFonts w:ascii="Times New Roman;Times;Serif" w:hAnsi="Times New Roman;Times;Serif"/>
                  <w:sz w:val="20"/>
                </w:rPr>
                <w:t>Legal Proceedings</w:t>
              </w:r>
            </w:hyperlink>
          </w:p>
        </w:tc>
        <w:tc>
          <w:tcPr>
            <w:tcW w:w="5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75"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pPr>
            <w:hyperlink w:anchor="sol10qa013">
              <w:r>
                <w:rPr>
                  <w:rStyle w:val="InternetLink"/>
                  <w:rFonts w:ascii="Times New Roman;Times;Serif" w:hAnsi="Times New Roman;Times;Serif"/>
                  <w:sz w:val="20"/>
                </w:rPr>
                <w:t>Item 1A.</w:t>
              </w:r>
            </w:hyperlink>
          </w:p>
        </w:tc>
        <w:tc>
          <w:tcPr>
            <w:tcW w:w="8998" w:type="dxa"/>
            <w:tcBorders/>
            <w:vAlign w:val="center"/>
          </w:tcPr>
          <w:p>
            <w:pPr>
              <w:pStyle w:val="TableContents"/>
              <w:bidi w:val="0"/>
              <w:spacing w:before="0" w:after="283"/>
              <w:jc w:val="left"/>
              <w:rPr/>
            </w:pPr>
            <w:hyperlink w:anchor="sol10qa013">
              <w:r>
                <w:rPr>
                  <w:rStyle w:val="InternetLink"/>
                  <w:rFonts w:ascii="Times New Roman;Times;Serif" w:hAnsi="Times New Roman;Times;Serif"/>
                  <w:sz w:val="20"/>
                </w:rPr>
                <w:t>Risk Factors</w:t>
              </w:r>
            </w:hyperlink>
          </w:p>
        </w:tc>
        <w:tc>
          <w:tcPr>
            <w:tcW w:w="5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75"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pPr>
            <w:hyperlink w:anchor="sol10qa014">
              <w:r>
                <w:rPr>
                  <w:rStyle w:val="InternetLink"/>
                  <w:rFonts w:ascii="Times New Roman;Times;Serif" w:hAnsi="Times New Roman;Times;Serif"/>
                  <w:sz w:val="20"/>
                </w:rPr>
                <w:t>Item 2.</w:t>
              </w:r>
            </w:hyperlink>
          </w:p>
        </w:tc>
        <w:tc>
          <w:tcPr>
            <w:tcW w:w="8998" w:type="dxa"/>
            <w:tcBorders/>
            <w:vAlign w:val="center"/>
          </w:tcPr>
          <w:p>
            <w:pPr>
              <w:pStyle w:val="TableContents"/>
              <w:bidi w:val="0"/>
              <w:spacing w:before="0" w:after="283"/>
              <w:jc w:val="left"/>
              <w:rPr/>
            </w:pPr>
            <w:hyperlink w:anchor="sol10qa014">
              <w:r>
                <w:rPr>
                  <w:rStyle w:val="InternetLink"/>
                  <w:rFonts w:ascii="Times New Roman;Times;Serif" w:hAnsi="Times New Roman;Times;Serif"/>
                  <w:sz w:val="20"/>
                </w:rPr>
                <w:t>Unregistered Sales of Equity Securities and Use of Proceeds</w:t>
              </w:r>
            </w:hyperlink>
          </w:p>
        </w:tc>
        <w:tc>
          <w:tcPr>
            <w:tcW w:w="5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75"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pPr>
            <w:hyperlink w:anchor="sol10qa015">
              <w:r>
                <w:rPr>
                  <w:rStyle w:val="InternetLink"/>
                  <w:rFonts w:ascii="Times New Roman;Times;Serif" w:hAnsi="Times New Roman;Times;Serif"/>
                  <w:sz w:val="20"/>
                </w:rPr>
                <w:t>Item 3.</w:t>
              </w:r>
            </w:hyperlink>
          </w:p>
        </w:tc>
        <w:tc>
          <w:tcPr>
            <w:tcW w:w="8998" w:type="dxa"/>
            <w:tcBorders/>
            <w:vAlign w:val="center"/>
          </w:tcPr>
          <w:p>
            <w:pPr>
              <w:pStyle w:val="TableContents"/>
              <w:bidi w:val="0"/>
              <w:spacing w:before="0" w:after="283"/>
              <w:jc w:val="left"/>
              <w:rPr/>
            </w:pPr>
            <w:hyperlink w:anchor="sol10qa015">
              <w:r>
                <w:rPr>
                  <w:rStyle w:val="InternetLink"/>
                  <w:rFonts w:ascii="Times New Roman;Times;Serif" w:hAnsi="Times New Roman;Times;Serif"/>
                  <w:sz w:val="20"/>
                </w:rPr>
                <w:t>Defaults Upon Senior Securities</w:t>
              </w:r>
            </w:hyperlink>
          </w:p>
        </w:tc>
        <w:tc>
          <w:tcPr>
            <w:tcW w:w="5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75"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pPr>
            <w:hyperlink w:anchor="sol10qa016">
              <w:r>
                <w:rPr>
                  <w:rStyle w:val="InternetLink"/>
                  <w:rFonts w:ascii="Times New Roman;Times;Serif" w:hAnsi="Times New Roman;Times;Serif"/>
                  <w:sz w:val="20"/>
                </w:rPr>
                <w:t>Item 4.</w:t>
              </w:r>
            </w:hyperlink>
          </w:p>
        </w:tc>
        <w:tc>
          <w:tcPr>
            <w:tcW w:w="8998" w:type="dxa"/>
            <w:tcBorders/>
            <w:vAlign w:val="center"/>
          </w:tcPr>
          <w:p>
            <w:pPr>
              <w:pStyle w:val="TableContents"/>
              <w:bidi w:val="0"/>
              <w:spacing w:before="0" w:after="283"/>
              <w:jc w:val="left"/>
              <w:rPr/>
            </w:pPr>
            <w:hyperlink w:anchor="sol10qa016">
              <w:r>
                <w:rPr>
                  <w:rStyle w:val="InternetLink"/>
                  <w:rFonts w:ascii="Times New Roman;Times;Serif" w:hAnsi="Times New Roman;Times;Serif"/>
                  <w:sz w:val="20"/>
                </w:rPr>
                <w:t>Mine Safety Disclosures</w:t>
              </w:r>
            </w:hyperlink>
          </w:p>
        </w:tc>
        <w:tc>
          <w:tcPr>
            <w:tcW w:w="5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75"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pPr>
            <w:hyperlink w:anchor="sol10qa017">
              <w:r>
                <w:rPr>
                  <w:rStyle w:val="InternetLink"/>
                  <w:rFonts w:ascii="Times New Roman;Times;Serif" w:hAnsi="Times New Roman;Times;Serif"/>
                  <w:sz w:val="20"/>
                </w:rPr>
                <w:t>Item 5.</w:t>
              </w:r>
            </w:hyperlink>
          </w:p>
        </w:tc>
        <w:tc>
          <w:tcPr>
            <w:tcW w:w="8998" w:type="dxa"/>
            <w:tcBorders/>
            <w:vAlign w:val="center"/>
          </w:tcPr>
          <w:p>
            <w:pPr>
              <w:pStyle w:val="TableContents"/>
              <w:bidi w:val="0"/>
              <w:spacing w:before="0" w:after="283"/>
              <w:jc w:val="left"/>
              <w:rPr/>
            </w:pPr>
            <w:hyperlink w:anchor="sol10qa017">
              <w:r>
                <w:rPr>
                  <w:rStyle w:val="InternetLink"/>
                  <w:rFonts w:ascii="Times New Roman;Times;Serif" w:hAnsi="Times New Roman;Times;Serif"/>
                  <w:sz w:val="20"/>
                </w:rPr>
                <w:t>Other Information</w:t>
              </w:r>
            </w:hyperlink>
          </w:p>
        </w:tc>
        <w:tc>
          <w:tcPr>
            <w:tcW w:w="5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75"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pPr>
            <w:hyperlink w:anchor="sol10qa018">
              <w:r>
                <w:rPr>
                  <w:rStyle w:val="InternetLink"/>
                  <w:rFonts w:ascii="Times New Roman;Times;Serif" w:hAnsi="Times New Roman;Times;Serif"/>
                  <w:sz w:val="20"/>
                </w:rPr>
                <w:t>Item 6.</w:t>
              </w:r>
            </w:hyperlink>
          </w:p>
        </w:tc>
        <w:tc>
          <w:tcPr>
            <w:tcW w:w="8998" w:type="dxa"/>
            <w:tcBorders/>
            <w:vAlign w:val="center"/>
          </w:tcPr>
          <w:p>
            <w:pPr>
              <w:pStyle w:val="TableContents"/>
              <w:bidi w:val="0"/>
              <w:spacing w:before="0" w:after="283"/>
              <w:jc w:val="left"/>
              <w:rPr/>
            </w:pPr>
            <w:hyperlink w:anchor="sol10qa018">
              <w:r>
                <w:rPr>
                  <w:rStyle w:val="InternetLink"/>
                  <w:rFonts w:ascii="Times New Roman;Times;Serif" w:hAnsi="Times New Roman;Times;Serif"/>
                  <w:sz w:val="20"/>
                </w:rPr>
                <w:t>Exhibits</w:t>
              </w:r>
            </w:hyperlink>
          </w:p>
        </w:tc>
        <w:tc>
          <w:tcPr>
            <w:tcW w:w="5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75"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pPr>
            <w:r>
              <w:rPr/>
              <w:t> </w:t>
            </w:r>
          </w:p>
        </w:tc>
        <w:tc>
          <w:tcPr>
            <w:tcW w:w="8998" w:type="dxa"/>
            <w:tcBorders/>
            <w:vAlign w:val="center"/>
          </w:tcPr>
          <w:p>
            <w:pPr>
              <w:pStyle w:val="TableContents"/>
              <w:bidi w:val="0"/>
              <w:spacing w:before="0" w:after="283"/>
              <w:jc w:val="left"/>
              <w:rPr/>
            </w:pPr>
            <w:hyperlink w:anchor="sol10qa019">
              <w:r>
                <w:rPr>
                  <w:rStyle w:val="InternetLink"/>
                  <w:rFonts w:ascii="Times New Roman;Times;Serif" w:hAnsi="Times New Roman;Times;Serif"/>
                  <w:sz w:val="20"/>
                </w:rPr>
                <w:t>SIGNATURES</w:t>
              </w:r>
            </w:hyperlink>
          </w:p>
        </w:tc>
        <w:tc>
          <w:tcPr>
            <w:tcW w:w="5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sol10qa001"/>
      <w:bookmarkEnd w:id="26"/>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sol10qa002"/>
      <w:bookmarkEnd w:id="27"/>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SOLÉSENCE,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sol10qa003"/>
      <w:bookmarkEnd w:id="28"/>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Condensed)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Reviewed)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9" w:name="xdx_30E_111_pn3n3_zgdkPKzAji8l"/>
      <w:bookmarkStart w:id="30" w:name="xdx_30E_111_pn3n3_zgdkPKzAji8l"/>
      <w:bookmarkEnd w:id="30"/>
    </w:p>
    <w:tbl>
      <w:tblPr>
        <w:tblW w:w="10205" w:type="dxa"/>
        <w:jc w:val="left"/>
        <w:tblInd w:w="0" w:type="dxa"/>
        <w:tblLayout w:type="fixed"/>
        <w:tblCellMar>
          <w:top w:w="0" w:type="dxa"/>
          <w:left w:w="0" w:type="dxa"/>
          <w:bottom w:w="0" w:type="dxa"/>
          <w:right w:w="0" w:type="dxa"/>
        </w:tblCellMar>
      </w:tblPr>
      <w:tblGrid>
        <w:gridCol w:w="7346"/>
        <w:gridCol w:w="60"/>
        <w:gridCol w:w="159"/>
        <w:gridCol w:w="997"/>
        <w:gridCol w:w="95"/>
        <w:gridCol w:w="60"/>
        <w:gridCol w:w="188"/>
        <w:gridCol w:w="1187"/>
        <w:gridCol w:w="113"/>
      </w:tblGrid>
      <w:tr>
        <w:trPr/>
        <w:tc>
          <w:tcPr>
            <w:tcW w:w="73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1" w:name="xdx_491_20260630_zobZY3SANXUa"/>
            <w:bookmarkEnd w:id="31"/>
          </w:p>
        </w:tc>
        <w:tc>
          <w:tcPr>
            <w:tcW w:w="1156"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 w:name="xdx_49D_20251231_z0PAnQMeaXvg"/>
            <w:bookmarkEnd w:id="32"/>
          </w:p>
        </w:tc>
        <w:tc>
          <w:tcPr>
            <w:tcW w:w="1375" w:type="dxa"/>
            <w:gridSpan w:val="2"/>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7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113" w:type="dxa"/>
            <w:tcBorders/>
            <w:vAlign w:val="center"/>
          </w:tcPr>
          <w:p>
            <w:pPr>
              <w:pStyle w:val="TableContents"/>
              <w:bidi w:val="0"/>
              <w:spacing w:before="0" w:after="283"/>
              <w:jc w:val="left"/>
              <w:rPr/>
            </w:pPr>
            <w:r>
              <w:rPr/>
              <w:t> </w:t>
            </w:r>
          </w:p>
        </w:tc>
      </w:tr>
      <w:tr>
        <w:trPr/>
        <w:tc>
          <w:tcPr>
            <w:tcW w:w="7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3" w:type="dxa"/>
            <w:tcBorders/>
            <w:vAlign w:val="center"/>
          </w:tcPr>
          <w:p>
            <w:pPr>
              <w:pStyle w:val="TableContents"/>
              <w:bidi w:val="0"/>
              <w:spacing w:before="0" w:after="283"/>
              <w:jc w:val="left"/>
              <w:rPr/>
            </w:pPr>
            <w:r>
              <w:rPr/>
              <w:t> </w:t>
            </w:r>
          </w:p>
        </w:tc>
      </w:tr>
      <w:tr>
        <w:trPr/>
        <w:tc>
          <w:tcPr>
            <w:tcW w:w="7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6" w:type="dxa"/>
            <w:gridSpan w:val="6"/>
            <w:tcBorders/>
            <w:vAlign w:val="center"/>
          </w:tcPr>
          <w:p>
            <w:pPr>
              <w:pStyle w:val="TableContents"/>
              <w:bidi w:val="0"/>
              <w:spacing w:before="0" w:after="283"/>
              <w:jc w:val="center"/>
              <w:rPr>
                <w:b/>
              </w:rPr>
            </w:pPr>
            <w:r>
              <w:rPr>
                <w:b/>
              </w:rPr>
              <w:t xml:space="preserve">(in thousands except share and </w:t>
              <w:br/>
              <w:t>per share data)</w:t>
            </w:r>
          </w:p>
        </w:tc>
        <w:tc>
          <w:tcPr>
            <w:tcW w:w="113" w:type="dxa"/>
            <w:tcBorders/>
            <w:vAlign w:val="center"/>
          </w:tcPr>
          <w:p>
            <w:pPr>
              <w:pStyle w:val="TableContents"/>
              <w:bidi w:val="0"/>
              <w:spacing w:before="0" w:after="283"/>
              <w:jc w:val="left"/>
              <w:rPr/>
            </w:pPr>
            <w:r>
              <w:rPr/>
              <w:t> </w:t>
            </w:r>
            <w:bookmarkStart w:id="33" w:name="xdx_408_eus-gaap--AssetsAbstract_iB_zCoH"/>
            <w:bookmarkEnd w:id="33"/>
          </w:p>
        </w:tc>
      </w:tr>
      <w:tr>
        <w:trPr/>
        <w:tc>
          <w:tcPr>
            <w:tcW w:w="7346" w:type="dxa"/>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rPr/>
            </w:pPr>
            <w:r>
              <w:rPr/>
              <w:t> </w:t>
            </w:r>
          </w:p>
        </w:tc>
        <w:tc>
          <w:tcPr>
            <w:tcW w:w="1156"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bookmarkStart w:id="34" w:name="xdx_401_eus-gaap--AssetsCurrentAbstract_"/>
            <w:bookmarkEnd w:id="34"/>
          </w:p>
        </w:tc>
      </w:tr>
      <w:tr>
        <w:trPr/>
        <w:tc>
          <w:tcPr>
            <w:tcW w:w="7346"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bookmarkStart w:id="35" w:name="xdx_40F_eus-gaap--CashAndCashEquivalents"/>
            <w:bookmarkEnd w:id="35"/>
          </w:p>
        </w:tc>
      </w:tr>
      <w:tr>
        <w:trPr/>
        <w:tc>
          <w:tcPr>
            <w:tcW w:w="7346"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97" w:type="dxa"/>
            <w:tcBorders/>
            <w:shd w:fill="CCEEFF" w:val="clear"/>
            <w:vAlign w:val="center"/>
          </w:tcPr>
          <w:p>
            <w:pPr>
              <w:pStyle w:val="TableContents"/>
              <w:bidi w:val="0"/>
              <w:spacing w:before="0" w:after="283"/>
              <w:jc w:val="right"/>
              <w:rPr/>
            </w:pPr>
            <w:r>
              <w:rPr/>
              <w:t>1,046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1,288</w:t>
            </w:r>
          </w:p>
        </w:tc>
        <w:tc>
          <w:tcPr>
            <w:tcW w:w="113" w:type="dxa"/>
            <w:tcBorders/>
            <w:shd w:fill="CCEEFF" w:val="clear"/>
            <w:vAlign w:val="center"/>
          </w:tcPr>
          <w:p>
            <w:pPr>
              <w:pStyle w:val="TableContents"/>
              <w:bidi w:val="0"/>
              <w:spacing w:before="0" w:after="283"/>
              <w:jc w:val="left"/>
              <w:rPr/>
            </w:pPr>
            <w:r>
              <w:rPr/>
              <w:t> </w:t>
            </w:r>
            <w:bookmarkStart w:id="36" w:name="xdx_409_eus-gaap--AccountsReceivableGros"/>
            <w:bookmarkEnd w:id="36"/>
          </w:p>
        </w:tc>
      </w:tr>
      <w:tr>
        <w:trPr/>
        <w:tc>
          <w:tcPr>
            <w:tcW w:w="7346" w:type="dxa"/>
            <w:tcBorders/>
            <w:shd w:fill="FFFFFF" w:val="clear"/>
            <w:vAlign w:val="center"/>
          </w:tcPr>
          <w:p>
            <w:pPr>
              <w:pStyle w:val="TableContents"/>
              <w:bidi w:val="0"/>
              <w:spacing w:before="0" w:after="283"/>
              <w:jc w:val="left"/>
              <w:rPr/>
            </w:pPr>
            <w:r>
              <w:rPr/>
              <w:t>Trade accounts receivable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10,240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7,642</w:t>
            </w:r>
          </w:p>
        </w:tc>
        <w:tc>
          <w:tcPr>
            <w:tcW w:w="113" w:type="dxa"/>
            <w:tcBorders/>
            <w:shd w:fill="FFFFFF" w:val="clear"/>
            <w:vAlign w:val="center"/>
          </w:tcPr>
          <w:p>
            <w:pPr>
              <w:pStyle w:val="TableContents"/>
              <w:bidi w:val="0"/>
              <w:spacing w:before="0" w:after="283"/>
              <w:jc w:val="left"/>
              <w:rPr/>
            </w:pPr>
            <w:r>
              <w:rPr/>
              <w:t> </w:t>
            </w:r>
            <w:bookmarkStart w:id="37" w:name="xdx_407_eus-gaap--AllowanceForDoubtfulAc"/>
            <w:bookmarkEnd w:id="37"/>
          </w:p>
        </w:tc>
      </w:tr>
      <w:tr>
        <w:trPr/>
        <w:tc>
          <w:tcPr>
            <w:tcW w:w="7346" w:type="dxa"/>
            <w:tcBorders/>
            <w:shd w:fill="CCEEFF" w:val="clear"/>
            <w:vAlign w:val="center"/>
          </w:tcPr>
          <w:p>
            <w:pPr>
              <w:pStyle w:val="TableContents"/>
              <w:bidi w:val="0"/>
              <w:spacing w:before="0" w:after="283"/>
              <w:jc w:val="left"/>
              <w:rPr/>
            </w:pPr>
            <w:r>
              <w:rPr/>
              <w:t>Allowance for credit losses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(895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(806</w:t>
            </w:r>
          </w:p>
        </w:tc>
        <w:tc>
          <w:tcPr>
            <w:tcW w:w="113" w:type="dxa"/>
            <w:tcBorders/>
            <w:shd w:fill="CCEEFF" w:val="clear"/>
            <w:vAlign w:val="center"/>
          </w:tcPr>
          <w:p>
            <w:pPr>
              <w:pStyle w:val="TableContents"/>
              <w:bidi w:val="0"/>
              <w:spacing w:before="0" w:after="283"/>
              <w:jc w:val="left"/>
              <w:rPr/>
            </w:pPr>
            <w:r>
              <w:rPr/>
              <w:t>)</w:t>
            </w:r>
            <w:bookmarkStart w:id="38" w:name="xdx_400_eus-gaap--AccountsReceivableNetC"/>
            <w:bookmarkEnd w:id="38"/>
          </w:p>
        </w:tc>
      </w:tr>
      <w:tr>
        <w:trPr/>
        <w:tc>
          <w:tcPr>
            <w:tcW w:w="7346" w:type="dxa"/>
            <w:tcBorders/>
            <w:shd w:fill="FFFFFF" w:val="clear"/>
            <w:vAlign w:val="center"/>
          </w:tcPr>
          <w:p>
            <w:pPr>
              <w:pStyle w:val="TableContents"/>
              <w:bidi w:val="0"/>
              <w:spacing w:before="0" w:after="283"/>
              <w:jc w:val="left"/>
              <w:rPr/>
            </w:pPr>
            <w:r>
              <w:rPr/>
              <w:t>    </w:t>
            </w:r>
            <w:r>
              <w:rPr/>
              <w:t>Trade accounts receivable, net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9,345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6,836</w:t>
            </w:r>
          </w:p>
        </w:tc>
        <w:tc>
          <w:tcPr>
            <w:tcW w:w="113" w:type="dxa"/>
            <w:tcBorders/>
            <w:shd w:fill="FFFFFF" w:val="clear"/>
            <w:vAlign w:val="center"/>
          </w:tcPr>
          <w:p>
            <w:pPr>
              <w:pStyle w:val="TableContents"/>
              <w:bidi w:val="0"/>
              <w:spacing w:before="0" w:after="283"/>
              <w:jc w:val="left"/>
              <w:rPr/>
            </w:pPr>
            <w:r>
              <w:rPr/>
              <w:t> </w:t>
            </w:r>
            <w:bookmarkStart w:id="39" w:name="xdx_400_eus-gaap--InventoryNet_i02I_maCz"/>
            <w:bookmarkEnd w:id="39"/>
          </w:p>
        </w:tc>
      </w:tr>
      <w:tr>
        <w:trPr/>
        <w:tc>
          <w:tcPr>
            <w:tcW w:w="7346" w:type="dxa"/>
            <w:tcBorders/>
            <w:shd w:fill="CCEEFF" w:val="clear"/>
            <w:vAlign w:val="center"/>
          </w:tcPr>
          <w:p>
            <w:pPr>
              <w:pStyle w:val="TableContents"/>
              <w:bidi w:val="0"/>
              <w:spacing w:before="0" w:after="283"/>
              <w:jc w:val="left"/>
              <w:rPr/>
            </w:pPr>
            <w:r>
              <w:rPr/>
              <w:t>Inventories, net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12,957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14,963</w:t>
            </w:r>
          </w:p>
        </w:tc>
        <w:tc>
          <w:tcPr>
            <w:tcW w:w="113" w:type="dxa"/>
            <w:tcBorders/>
            <w:shd w:fill="CCEEFF" w:val="clear"/>
            <w:vAlign w:val="center"/>
          </w:tcPr>
          <w:p>
            <w:pPr>
              <w:pStyle w:val="TableContents"/>
              <w:bidi w:val="0"/>
              <w:spacing w:before="0" w:after="283"/>
              <w:jc w:val="left"/>
              <w:rPr/>
            </w:pPr>
            <w:r>
              <w:rPr/>
              <w:t> </w:t>
            </w:r>
            <w:bookmarkStart w:id="40" w:name="xdx_409_eus-gaap--PrepaidExpenseAndOther"/>
            <w:bookmarkEnd w:id="40"/>
          </w:p>
        </w:tc>
      </w:tr>
      <w:tr>
        <w:trPr/>
        <w:tc>
          <w:tcPr>
            <w:tcW w:w="7346"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pPr>
            <w:r>
              <w:rPr/>
              <w:t>1,922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pPr>
            <w:r>
              <w:rPr/>
              <w:t>2,141</w:t>
            </w:r>
          </w:p>
        </w:tc>
        <w:tc>
          <w:tcPr>
            <w:tcW w:w="113" w:type="dxa"/>
            <w:tcBorders/>
            <w:shd w:fill="FFFFFF" w:val="clear"/>
            <w:vAlign w:val="center"/>
          </w:tcPr>
          <w:p>
            <w:pPr>
              <w:pStyle w:val="TableContents"/>
              <w:bidi w:val="0"/>
              <w:spacing w:before="0" w:after="283"/>
              <w:jc w:val="left"/>
              <w:rPr/>
            </w:pPr>
            <w:r>
              <w:rPr/>
              <w:t> </w:t>
            </w:r>
            <w:bookmarkStart w:id="41" w:name="xdx_406_eus-gaap--AssetsCurrent_i02TI_mt"/>
            <w:bookmarkEnd w:id="41"/>
          </w:p>
        </w:tc>
      </w:tr>
      <w:tr>
        <w:trPr/>
        <w:tc>
          <w:tcPr>
            <w:tcW w:w="7346"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25,270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25,228</w:t>
            </w:r>
          </w:p>
        </w:tc>
        <w:tc>
          <w:tcPr>
            <w:tcW w:w="113" w:type="dxa"/>
            <w:tcBorders/>
            <w:shd w:fill="CCEEFF" w:val="clear"/>
            <w:vAlign w:val="center"/>
          </w:tcPr>
          <w:p>
            <w:pPr>
              <w:pStyle w:val="TableContents"/>
              <w:bidi w:val="0"/>
              <w:spacing w:before="0" w:after="283"/>
              <w:jc w:val="left"/>
              <w:rPr/>
            </w:pPr>
            <w:r>
              <w:rPr/>
              <w:t> </w:t>
            </w:r>
          </w:p>
        </w:tc>
      </w:tr>
      <w:tr>
        <w:trPr/>
        <w:tc>
          <w:tcPr>
            <w:tcW w:w="73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2" w:name="xdx_40D_eus-gaap--PropertyPlantAndEquipm"/>
            <w:bookmarkEnd w:id="42"/>
          </w:p>
        </w:tc>
      </w:tr>
      <w:tr>
        <w:trPr/>
        <w:tc>
          <w:tcPr>
            <w:tcW w:w="7346" w:type="dxa"/>
            <w:tcBorders/>
            <w:shd w:fill="CCEEFF" w:val="clear"/>
            <w:vAlign w:val="center"/>
          </w:tcPr>
          <w:p>
            <w:pPr>
              <w:pStyle w:val="TableContents"/>
              <w:bidi w:val="0"/>
              <w:spacing w:before="0" w:after="283"/>
              <w:jc w:val="left"/>
              <w:rPr/>
            </w:pPr>
            <w:r>
              <w:rPr/>
              <w:t>Equipment and leasehold improvements, net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14,794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14,329</w:t>
            </w:r>
          </w:p>
        </w:tc>
        <w:tc>
          <w:tcPr>
            <w:tcW w:w="113" w:type="dxa"/>
            <w:tcBorders/>
            <w:shd w:fill="CCEEFF" w:val="clear"/>
            <w:vAlign w:val="center"/>
          </w:tcPr>
          <w:p>
            <w:pPr>
              <w:pStyle w:val="TableContents"/>
              <w:bidi w:val="0"/>
              <w:spacing w:before="0" w:after="283"/>
              <w:jc w:val="left"/>
              <w:rPr/>
            </w:pPr>
            <w:r>
              <w:rPr/>
              <w:t> </w:t>
            </w:r>
            <w:bookmarkStart w:id="43" w:name="xdx_409_eus-gaap--OperatingLeaseRightOfU"/>
            <w:bookmarkEnd w:id="43"/>
          </w:p>
        </w:tc>
      </w:tr>
      <w:tr>
        <w:trPr/>
        <w:tc>
          <w:tcPr>
            <w:tcW w:w="7346" w:type="dxa"/>
            <w:tcBorders/>
            <w:shd w:fill="FFFFFF" w:val="clear"/>
            <w:vAlign w:val="center"/>
          </w:tcPr>
          <w:p>
            <w:pPr>
              <w:pStyle w:val="TableContents"/>
              <w:bidi w:val="0"/>
              <w:spacing w:before="0" w:after="283"/>
              <w:jc w:val="left"/>
              <w:rPr/>
            </w:pPr>
            <w:r>
              <w:rPr/>
              <w:t>Operating leases, right of use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6,337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6,913</w:t>
            </w:r>
          </w:p>
        </w:tc>
        <w:tc>
          <w:tcPr>
            <w:tcW w:w="113" w:type="dxa"/>
            <w:tcBorders/>
            <w:shd w:fill="FFFFFF" w:val="clear"/>
            <w:vAlign w:val="center"/>
          </w:tcPr>
          <w:p>
            <w:pPr>
              <w:pStyle w:val="TableContents"/>
              <w:bidi w:val="0"/>
              <w:spacing w:before="0" w:after="283"/>
              <w:jc w:val="left"/>
              <w:rPr/>
            </w:pPr>
            <w:r>
              <w:rPr/>
              <w:t> </w:t>
            </w:r>
            <w:bookmarkStart w:id="44" w:name="xdx_40D_eus-gaap--OtherAssetsNoncurrent_"/>
            <w:bookmarkEnd w:id="44"/>
          </w:p>
        </w:tc>
      </w:tr>
      <w:tr>
        <w:trPr/>
        <w:tc>
          <w:tcPr>
            <w:tcW w:w="7346" w:type="dxa"/>
            <w:tcBorders/>
            <w:shd w:fill="CCEEFF" w:val="clear"/>
            <w:vAlign w:val="center"/>
          </w:tcPr>
          <w:p>
            <w:pPr>
              <w:pStyle w:val="TableContents"/>
              <w:bidi w:val="0"/>
              <w:spacing w:before="0" w:after="283"/>
              <w:jc w:val="left"/>
              <w:rPr/>
            </w:pPr>
            <w:r>
              <w:rPr/>
              <w:t>Other assets, net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CCEEFF" w:val="clear"/>
            <w:tcMar>
              <w:bottom w:w="28" w:type="dxa"/>
            </w:tcMar>
            <w:vAlign w:val="center"/>
          </w:tcPr>
          <w:p>
            <w:pPr>
              <w:pStyle w:val="TableContents"/>
              <w:bidi w:val="0"/>
              <w:spacing w:before="0" w:after="283"/>
              <w:jc w:val="right"/>
              <w:rPr/>
            </w:pPr>
            <w:r>
              <w:rPr/>
              <w:t>37</w:t>
            </w:r>
          </w:p>
        </w:tc>
        <w:tc>
          <w:tcPr>
            <w:tcW w:w="113" w:type="dxa"/>
            <w:tcBorders/>
            <w:shd w:fill="CCEEFF" w:val="clear"/>
            <w:vAlign w:val="center"/>
          </w:tcPr>
          <w:p>
            <w:pPr>
              <w:pStyle w:val="TableContents"/>
              <w:bidi w:val="0"/>
              <w:spacing w:before="0" w:after="283"/>
              <w:jc w:val="left"/>
              <w:rPr/>
            </w:pPr>
            <w:r>
              <w:rPr/>
              <w:t> </w:t>
            </w:r>
            <w:bookmarkStart w:id="45" w:name="xdx_40E_eus-gaap--Assets_i01TI_mtCzPil_z"/>
            <w:bookmarkEnd w:id="45"/>
          </w:p>
        </w:tc>
      </w:tr>
      <w:tr>
        <w:trPr/>
        <w:tc>
          <w:tcPr>
            <w:tcW w:w="7346" w:type="dxa"/>
            <w:tcBorders/>
            <w:shd w:fill="FFFFFF" w:val="clear"/>
            <w:vAlign w:val="center"/>
          </w:tcPr>
          <w:p>
            <w:pPr>
              <w:pStyle w:val="TableContents"/>
              <w:bidi w:val="0"/>
              <w:spacing w:before="0" w:after="283"/>
              <w:jc w:val="left"/>
              <w:rPr/>
            </w:pPr>
            <w:r>
              <w:rPr/>
              <w:t>       </w:t>
            </w:r>
            <w:r>
              <w:rPr/>
              <w:t>Total assets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7" w:type="dxa"/>
            <w:tcBorders>
              <w:bottom w:val="double" w:sz="6" w:space="0" w:color="000000"/>
            </w:tcBorders>
            <w:shd w:fill="FFFFFF" w:val="clear"/>
            <w:tcMar>
              <w:bottom w:w="28" w:type="dxa"/>
            </w:tcMar>
            <w:vAlign w:val="center"/>
          </w:tcPr>
          <w:p>
            <w:pPr>
              <w:pStyle w:val="TableContents"/>
              <w:bidi w:val="0"/>
              <w:spacing w:before="0" w:after="283"/>
              <w:jc w:val="right"/>
              <w:rPr/>
            </w:pPr>
            <w:r>
              <w:rPr/>
              <w:t>46,437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7" w:type="dxa"/>
            <w:tcBorders>
              <w:bottom w:val="double" w:sz="6" w:space="0" w:color="000000"/>
            </w:tcBorders>
            <w:shd w:fill="FFFFFF" w:val="clear"/>
            <w:tcMar>
              <w:bottom w:w="28" w:type="dxa"/>
            </w:tcMar>
            <w:vAlign w:val="center"/>
          </w:tcPr>
          <w:p>
            <w:pPr>
              <w:pStyle w:val="TableContents"/>
              <w:bidi w:val="0"/>
              <w:spacing w:before="0" w:after="283"/>
              <w:jc w:val="right"/>
              <w:rPr/>
            </w:pPr>
            <w:r>
              <w:rPr/>
              <w:t>46,507</w:t>
            </w:r>
          </w:p>
        </w:tc>
        <w:tc>
          <w:tcPr>
            <w:tcW w:w="113" w:type="dxa"/>
            <w:tcBorders/>
            <w:shd w:fill="FFFFFF" w:val="clear"/>
            <w:vAlign w:val="center"/>
          </w:tcPr>
          <w:p>
            <w:pPr>
              <w:pStyle w:val="TableContents"/>
              <w:bidi w:val="0"/>
              <w:spacing w:before="0" w:after="283"/>
              <w:jc w:val="left"/>
              <w:rPr/>
            </w:pPr>
            <w:r>
              <w:rPr/>
              <w:t> </w:t>
            </w:r>
            <w:bookmarkStart w:id="46" w:name="xdx_401_eus-gaap--LiabilitiesAndStockhol"/>
            <w:bookmarkEnd w:id="46"/>
          </w:p>
        </w:tc>
      </w:tr>
      <w:tr>
        <w:trPr/>
        <w:tc>
          <w:tcPr>
            <w:tcW w:w="7346" w:type="dxa"/>
            <w:tcBorders/>
            <w:shd w:fill="CCEEFF" w:val="clear"/>
            <w:vAlign w:val="center"/>
          </w:tcPr>
          <w:p>
            <w:pPr>
              <w:pStyle w:val="TableContents"/>
              <w:bidi w:val="0"/>
              <w:spacing w:before="0" w:after="283"/>
              <w:jc w:val="center"/>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7" w:name="xdx_408_eus-gaap--LiabilitiesCurrentAbst"/>
            <w:bookmarkEnd w:id="47"/>
          </w:p>
        </w:tc>
      </w:tr>
      <w:tr>
        <w:trPr/>
        <w:tc>
          <w:tcPr>
            <w:tcW w:w="7346"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8" w:name="xdx_40F_eus-gaap--LinesOfCreditCurrent_i"/>
            <w:bookmarkEnd w:id="48"/>
          </w:p>
        </w:tc>
      </w:tr>
      <w:tr>
        <w:trPr/>
        <w:tc>
          <w:tcPr>
            <w:tcW w:w="7346" w:type="dxa"/>
            <w:tcBorders/>
            <w:shd w:fill="FFFFFF" w:val="clear"/>
            <w:vAlign w:val="center"/>
          </w:tcPr>
          <w:p>
            <w:pPr>
              <w:pStyle w:val="TableContents"/>
              <w:bidi w:val="0"/>
              <w:spacing w:before="0" w:after="283"/>
              <w:jc w:val="left"/>
              <w:rPr/>
            </w:pPr>
            <w:r>
              <w:rPr/>
              <w:t>Line of credit – accounts receivable, related party</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997" w:type="dxa"/>
            <w:tcBorders/>
            <w:shd w:fill="FFFFFF" w:val="clear"/>
            <w:vAlign w:val="center"/>
          </w:tcPr>
          <w:p>
            <w:pPr>
              <w:pStyle w:val="TableContents"/>
              <w:bidi w:val="0"/>
              <w:spacing w:before="0" w:after="283"/>
              <w:jc w:val="right"/>
              <w:rPr/>
            </w:pPr>
            <w:r>
              <w:rPr/>
              <w:t>3,787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187" w:type="dxa"/>
            <w:tcBorders/>
            <w:shd w:fill="FFFFFF" w:val="clear"/>
            <w:vAlign w:val="center"/>
          </w:tcPr>
          <w:p>
            <w:pPr>
              <w:pStyle w:val="TableContents"/>
              <w:bidi w:val="0"/>
              <w:spacing w:before="0" w:after="283"/>
              <w:jc w:val="right"/>
              <w:rPr/>
            </w:pPr>
            <w:r>
              <w:rPr/>
              <w:t>4,767</w:t>
            </w:r>
          </w:p>
        </w:tc>
        <w:tc>
          <w:tcPr>
            <w:tcW w:w="113" w:type="dxa"/>
            <w:tcBorders/>
            <w:shd w:fill="FFFFFF" w:val="clear"/>
            <w:vAlign w:val="center"/>
          </w:tcPr>
          <w:p>
            <w:pPr>
              <w:pStyle w:val="TableContents"/>
              <w:bidi w:val="0"/>
              <w:spacing w:before="0" w:after="283"/>
              <w:jc w:val="left"/>
              <w:rPr/>
            </w:pPr>
            <w:r>
              <w:rPr/>
              <w:t> </w:t>
            </w:r>
            <w:bookmarkStart w:id="49" w:name="xdx_401_ecustom--LinesOfCreditInventoryC"/>
            <w:bookmarkEnd w:id="49"/>
          </w:p>
        </w:tc>
      </w:tr>
      <w:tr>
        <w:trPr/>
        <w:tc>
          <w:tcPr>
            <w:tcW w:w="7346" w:type="dxa"/>
            <w:tcBorders/>
            <w:shd w:fill="CCEEFF" w:val="clear"/>
            <w:vAlign w:val="center"/>
          </w:tcPr>
          <w:p>
            <w:pPr>
              <w:pStyle w:val="TableContents"/>
              <w:bidi w:val="0"/>
              <w:spacing w:before="0" w:after="283"/>
              <w:jc w:val="left"/>
              <w:rPr/>
            </w:pPr>
            <w:r>
              <w:rPr/>
              <w:t>Current portion of line of credit, inventory, related party</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9,500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50" w:name="xdx_409_eus-gaap--LoansPayableCurrent_i0"/>
            <w:bookmarkEnd w:id="50"/>
          </w:p>
        </w:tc>
      </w:tr>
      <w:tr>
        <w:trPr/>
        <w:tc>
          <w:tcPr>
            <w:tcW w:w="7346" w:type="dxa"/>
            <w:tcBorders/>
            <w:shd w:fill="FFFFFF" w:val="clear"/>
            <w:vAlign w:val="center"/>
          </w:tcPr>
          <w:p>
            <w:pPr>
              <w:pStyle w:val="TableContents"/>
              <w:bidi w:val="0"/>
              <w:spacing w:before="0" w:after="283"/>
              <w:jc w:val="left"/>
              <w:rPr/>
            </w:pPr>
            <w:r>
              <w:rPr/>
              <w:t>Current portion of debt, related parties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51" w:name="xdx_400_eus-gaap--OperatingLeaseLiabilit"/>
            <w:bookmarkEnd w:id="51"/>
          </w:p>
        </w:tc>
      </w:tr>
      <w:tr>
        <w:trPr/>
        <w:tc>
          <w:tcPr>
            <w:tcW w:w="7346" w:type="dxa"/>
            <w:tcBorders/>
            <w:shd w:fill="CCEEFF" w:val="clear"/>
            <w:vAlign w:val="center"/>
          </w:tcPr>
          <w:p>
            <w:pPr>
              <w:pStyle w:val="TableContents"/>
              <w:bidi w:val="0"/>
              <w:spacing w:before="0" w:after="283"/>
              <w:jc w:val="left"/>
              <w:rPr/>
            </w:pPr>
            <w:r>
              <w:rPr/>
              <w:t>Current portion of operating lease obligations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1,255</w:t>
            </w:r>
          </w:p>
        </w:tc>
        <w:tc>
          <w:tcPr>
            <w:tcW w:w="113" w:type="dxa"/>
            <w:tcBorders/>
            <w:shd w:fill="CCEEFF" w:val="clear"/>
            <w:vAlign w:val="center"/>
          </w:tcPr>
          <w:p>
            <w:pPr>
              <w:pStyle w:val="TableContents"/>
              <w:bidi w:val="0"/>
              <w:spacing w:before="0" w:after="283"/>
              <w:jc w:val="left"/>
              <w:rPr/>
            </w:pPr>
            <w:r>
              <w:rPr/>
              <w:t> </w:t>
            </w:r>
            <w:bookmarkStart w:id="52" w:name="xdx_40D_eus-gaap--AccountsPayableCurrent"/>
            <w:bookmarkEnd w:id="52"/>
          </w:p>
        </w:tc>
      </w:tr>
      <w:tr>
        <w:trPr/>
        <w:tc>
          <w:tcPr>
            <w:tcW w:w="7346"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4,968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4,098</w:t>
            </w:r>
          </w:p>
        </w:tc>
        <w:tc>
          <w:tcPr>
            <w:tcW w:w="113" w:type="dxa"/>
            <w:tcBorders/>
            <w:shd w:fill="FFFFFF" w:val="clear"/>
            <w:vAlign w:val="center"/>
          </w:tcPr>
          <w:p>
            <w:pPr>
              <w:pStyle w:val="TableContents"/>
              <w:bidi w:val="0"/>
              <w:spacing w:before="0" w:after="283"/>
              <w:jc w:val="left"/>
              <w:rPr/>
            </w:pPr>
            <w:r>
              <w:rPr/>
              <w:t> </w:t>
            </w:r>
            <w:bookmarkStart w:id="53" w:name="xdx_40A_eus-gaap--DeferredRevenueCurrent"/>
            <w:bookmarkEnd w:id="53"/>
          </w:p>
        </w:tc>
      </w:tr>
      <w:tr>
        <w:trPr/>
        <w:tc>
          <w:tcPr>
            <w:tcW w:w="7346"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1,937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930</w:t>
            </w:r>
          </w:p>
        </w:tc>
        <w:tc>
          <w:tcPr>
            <w:tcW w:w="113" w:type="dxa"/>
            <w:tcBorders/>
            <w:shd w:fill="CCEEFF" w:val="clear"/>
            <w:vAlign w:val="center"/>
          </w:tcPr>
          <w:p>
            <w:pPr>
              <w:pStyle w:val="TableContents"/>
              <w:bidi w:val="0"/>
              <w:spacing w:before="0" w:after="283"/>
              <w:jc w:val="left"/>
              <w:rPr/>
            </w:pPr>
            <w:r>
              <w:rPr/>
              <w:t> </w:t>
            </w:r>
            <w:bookmarkStart w:id="54" w:name="xdx_40E_eus-gaap--AccruedLiabilitiesCurr"/>
            <w:bookmarkEnd w:id="54"/>
          </w:p>
        </w:tc>
      </w:tr>
      <w:tr>
        <w:trPr/>
        <w:tc>
          <w:tcPr>
            <w:tcW w:w="7346"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pPr>
            <w:r>
              <w:rPr/>
              <w:t>3,478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pPr>
            <w:r>
              <w:rPr/>
              <w:t>2,879</w:t>
            </w:r>
          </w:p>
        </w:tc>
        <w:tc>
          <w:tcPr>
            <w:tcW w:w="113" w:type="dxa"/>
            <w:tcBorders/>
            <w:shd w:fill="FFFFFF" w:val="clear"/>
            <w:vAlign w:val="center"/>
          </w:tcPr>
          <w:p>
            <w:pPr>
              <w:pStyle w:val="TableContents"/>
              <w:bidi w:val="0"/>
              <w:spacing w:before="0" w:after="283"/>
              <w:jc w:val="left"/>
              <w:rPr/>
            </w:pPr>
            <w:r>
              <w:rPr/>
              <w:t> </w:t>
            </w:r>
            <w:bookmarkStart w:id="55" w:name="xdx_408_eus-gaap--LiabilitiesCurrent_i02"/>
            <w:bookmarkEnd w:id="55"/>
          </w:p>
        </w:tc>
      </w:tr>
      <w:tr>
        <w:trPr/>
        <w:tc>
          <w:tcPr>
            <w:tcW w:w="7346"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26,013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13,929</w:t>
            </w:r>
          </w:p>
        </w:tc>
        <w:tc>
          <w:tcPr>
            <w:tcW w:w="113" w:type="dxa"/>
            <w:tcBorders/>
            <w:shd w:fill="CCEEFF" w:val="clear"/>
            <w:vAlign w:val="center"/>
          </w:tcPr>
          <w:p>
            <w:pPr>
              <w:pStyle w:val="TableContents"/>
              <w:bidi w:val="0"/>
              <w:spacing w:before="0" w:after="283"/>
              <w:jc w:val="left"/>
              <w:rPr/>
            </w:pPr>
            <w:r>
              <w:rPr/>
              <w:t> </w:t>
            </w:r>
          </w:p>
        </w:tc>
      </w:tr>
      <w:tr>
        <w:trPr/>
        <w:tc>
          <w:tcPr>
            <w:tcW w:w="73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6" w:name="xdx_406_eus-gaap--OperatingLeaseLiabilit"/>
            <w:bookmarkEnd w:id="56"/>
          </w:p>
        </w:tc>
      </w:tr>
      <w:tr>
        <w:trPr/>
        <w:tc>
          <w:tcPr>
            <w:tcW w:w="7346" w:type="dxa"/>
            <w:tcBorders/>
            <w:shd w:fill="CCEEFF" w:val="clear"/>
            <w:vAlign w:val="center"/>
          </w:tcPr>
          <w:p>
            <w:pPr>
              <w:pStyle w:val="TableContents"/>
              <w:bidi w:val="0"/>
              <w:spacing w:before="0" w:after="283"/>
              <w:jc w:val="left"/>
              <w:rPr/>
            </w:pPr>
            <w:r>
              <w:rPr/>
              <w:t>Long-term portion of operating lease obligations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7,070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7,798</w:t>
            </w:r>
          </w:p>
        </w:tc>
        <w:tc>
          <w:tcPr>
            <w:tcW w:w="113" w:type="dxa"/>
            <w:tcBorders/>
            <w:shd w:fill="CCEEFF" w:val="clear"/>
            <w:vAlign w:val="center"/>
          </w:tcPr>
          <w:p>
            <w:pPr>
              <w:pStyle w:val="TableContents"/>
              <w:bidi w:val="0"/>
              <w:spacing w:before="0" w:after="283"/>
              <w:jc w:val="left"/>
              <w:rPr/>
            </w:pPr>
            <w:r>
              <w:rPr/>
              <w:t> </w:t>
            </w:r>
            <w:bookmarkStart w:id="57" w:name="xdx_40C_eus-gaap--LongTermLineOfCredit_i"/>
            <w:bookmarkEnd w:id="57"/>
          </w:p>
        </w:tc>
      </w:tr>
      <w:tr>
        <w:trPr/>
        <w:tc>
          <w:tcPr>
            <w:tcW w:w="7346" w:type="dxa"/>
            <w:tcBorders/>
            <w:shd w:fill="FFFFFF" w:val="clear"/>
            <w:vAlign w:val="center"/>
          </w:tcPr>
          <w:p>
            <w:pPr>
              <w:pStyle w:val="TableContents"/>
              <w:bidi w:val="0"/>
              <w:spacing w:before="0" w:after="283"/>
              <w:jc w:val="left"/>
              <w:rPr/>
            </w:pPr>
            <w:r>
              <w:rPr/>
              <w:t>Long-term line of credit – inventory, related party</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9,500</w:t>
            </w:r>
          </w:p>
        </w:tc>
        <w:tc>
          <w:tcPr>
            <w:tcW w:w="113" w:type="dxa"/>
            <w:tcBorders/>
            <w:shd w:fill="FFFFFF" w:val="clear"/>
            <w:vAlign w:val="center"/>
          </w:tcPr>
          <w:p>
            <w:pPr>
              <w:pStyle w:val="TableContents"/>
              <w:bidi w:val="0"/>
              <w:spacing w:before="0" w:after="283"/>
              <w:jc w:val="left"/>
              <w:rPr/>
            </w:pPr>
            <w:r>
              <w:rPr/>
              <w:t> </w:t>
            </w:r>
            <w:bookmarkStart w:id="58" w:name="xdx_40F_eus-gaap--OtherLongTermDebtNoncu"/>
            <w:bookmarkEnd w:id="58"/>
          </w:p>
        </w:tc>
      </w:tr>
      <w:tr>
        <w:trPr/>
        <w:tc>
          <w:tcPr>
            <w:tcW w:w="7346" w:type="dxa"/>
            <w:tcBorders/>
            <w:shd w:fill="CCEEFF" w:val="clear"/>
            <w:vAlign w:val="center"/>
          </w:tcPr>
          <w:p>
            <w:pPr>
              <w:pStyle w:val="TableContents"/>
              <w:bidi w:val="0"/>
              <w:spacing w:before="0" w:after="283"/>
              <w:jc w:val="left"/>
              <w:rPr/>
            </w:pPr>
            <w:r>
              <w:rPr/>
              <w:t>Long-term debt, related party</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1,000</w:t>
            </w:r>
          </w:p>
        </w:tc>
        <w:tc>
          <w:tcPr>
            <w:tcW w:w="113" w:type="dxa"/>
            <w:tcBorders/>
            <w:shd w:fill="CCEEFF" w:val="clear"/>
            <w:vAlign w:val="center"/>
          </w:tcPr>
          <w:p>
            <w:pPr>
              <w:pStyle w:val="TableContents"/>
              <w:bidi w:val="0"/>
              <w:spacing w:before="0" w:after="283"/>
              <w:jc w:val="left"/>
              <w:rPr/>
            </w:pPr>
            <w:r>
              <w:rPr/>
              <w:t> </w:t>
            </w:r>
            <w:bookmarkStart w:id="59" w:name="xdx_401_eus-gaap--AssetRetirementObligat"/>
            <w:bookmarkEnd w:id="59"/>
          </w:p>
        </w:tc>
      </w:tr>
      <w:tr>
        <w:trPr/>
        <w:tc>
          <w:tcPr>
            <w:tcW w:w="7346" w:type="dxa"/>
            <w:tcBorders/>
            <w:shd w:fill="FFFFFF" w:val="clear"/>
            <w:vAlign w:val="center"/>
          </w:tcPr>
          <w:p>
            <w:pPr>
              <w:pStyle w:val="TableContents"/>
              <w:bidi w:val="0"/>
              <w:spacing w:before="0" w:after="283"/>
              <w:jc w:val="left"/>
              <w:rPr/>
            </w:pPr>
            <w:r>
              <w:rPr/>
              <w:t>Asset retirement obligations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pPr>
            <w:r>
              <w:rPr/>
              <w:t>194</w:t>
            </w:r>
          </w:p>
        </w:tc>
        <w:tc>
          <w:tcPr>
            <w:tcW w:w="113" w:type="dxa"/>
            <w:tcBorders/>
            <w:shd w:fill="FFFFFF" w:val="clear"/>
            <w:vAlign w:val="center"/>
          </w:tcPr>
          <w:p>
            <w:pPr>
              <w:pStyle w:val="TableContents"/>
              <w:bidi w:val="0"/>
              <w:spacing w:before="0" w:after="283"/>
              <w:jc w:val="left"/>
              <w:rPr/>
            </w:pPr>
            <w:r>
              <w:rPr/>
              <w:t> </w:t>
            </w:r>
            <w:bookmarkStart w:id="60" w:name="xdx_404_eus-gaap--LiabilitiesNoncurrent_"/>
            <w:bookmarkEnd w:id="60"/>
          </w:p>
        </w:tc>
      </w:tr>
      <w:tr>
        <w:trPr/>
        <w:tc>
          <w:tcPr>
            <w:tcW w:w="7346" w:type="dxa"/>
            <w:tcBorders/>
            <w:shd w:fill="CCEEFF" w:val="clear"/>
            <w:vAlign w:val="center"/>
          </w:tcPr>
          <w:p>
            <w:pPr>
              <w:pStyle w:val="TableContents"/>
              <w:bidi w:val="0"/>
              <w:spacing w:before="0" w:after="283"/>
              <w:jc w:val="left"/>
              <w:rPr/>
            </w:pPr>
            <w:r>
              <w:rPr/>
              <w:t>       </w:t>
            </w:r>
            <w:r>
              <w:rPr/>
              <w:t>Total long-term liabilities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pPr>
            <w:r>
              <w:rPr/>
              <w:t>7,270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CCEEFF" w:val="clear"/>
            <w:tcMar>
              <w:bottom w:w="28" w:type="dxa"/>
            </w:tcMar>
            <w:vAlign w:val="center"/>
          </w:tcPr>
          <w:p>
            <w:pPr>
              <w:pStyle w:val="TableContents"/>
              <w:bidi w:val="0"/>
              <w:spacing w:before="0" w:after="283"/>
              <w:jc w:val="right"/>
              <w:rPr/>
            </w:pPr>
            <w:r>
              <w:rPr/>
              <w:t>18,492</w:t>
            </w:r>
          </w:p>
        </w:tc>
        <w:tc>
          <w:tcPr>
            <w:tcW w:w="113" w:type="dxa"/>
            <w:tcBorders/>
            <w:shd w:fill="CCEEFF" w:val="clear"/>
            <w:vAlign w:val="center"/>
          </w:tcPr>
          <w:p>
            <w:pPr>
              <w:pStyle w:val="TableContents"/>
              <w:bidi w:val="0"/>
              <w:spacing w:before="0" w:after="283"/>
              <w:jc w:val="left"/>
              <w:rPr/>
            </w:pPr>
            <w:r>
              <w:rPr/>
              <w:t> </w:t>
            </w:r>
          </w:p>
        </w:tc>
      </w:tr>
      <w:tr>
        <w:trPr/>
        <w:tc>
          <w:tcPr>
            <w:tcW w:w="73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1" w:name="xdx_40A_eus-gaap--StockholdersEquityAbst"/>
            <w:bookmarkEnd w:id="61"/>
          </w:p>
        </w:tc>
      </w:tr>
      <w:tr>
        <w:trPr/>
        <w:tc>
          <w:tcPr>
            <w:tcW w:w="7346" w:type="dxa"/>
            <w:tcBorders/>
            <w:shd w:fill="CCEEFF" w:val="clear"/>
            <w:vAlign w:val="center"/>
          </w:tcPr>
          <w:p>
            <w:pPr>
              <w:pStyle w:val="TableContents"/>
              <w:bidi w:val="0"/>
              <w:spacing w:before="0" w:after="283"/>
              <w:jc w:val="left"/>
              <w:rPr>
                <w:b/>
              </w:rPr>
            </w:pPr>
            <w:r>
              <w:rPr>
                <w:b/>
              </w:rPr>
              <w:t>Stockholders’ equity:</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180"/>
              <w:jc w:val="left"/>
              <w:rPr/>
            </w:pPr>
            <w:r>
              <w:rPr/>
              <w:t> </w:t>
            </w:r>
            <w:bookmarkStart w:id="62" w:name="xdx_40D_eus-gaap--PreferredStockValue_i0"/>
            <w:bookmarkEnd w:id="62"/>
          </w:p>
        </w:tc>
      </w:tr>
      <w:tr>
        <w:trPr/>
        <w:tc>
          <w:tcPr>
            <w:tcW w:w="7346" w:type="dxa"/>
            <w:tcBorders/>
            <w:shd w:fill="FFFFFF" w:val="clear"/>
            <w:vAlign w:val="center"/>
          </w:tcPr>
          <w:p>
            <w:pPr>
              <w:pStyle w:val="TableContents"/>
              <w:bidi w:val="0"/>
              <w:spacing w:before="0" w:after="283"/>
              <w:jc w:val="left"/>
              <w:rPr/>
            </w:pPr>
            <w:r>
              <w:rPr/>
              <w:t>Preferred stock, $</w:t>
            </w:r>
            <w:bookmarkStart w:id="63" w:name="xdx_90C_eus-gaap--PreferredStockParOrSta"/>
            <w:bookmarkStart w:id="64" w:name="xdx_901_eus-gaap--PreferredStockParOrSta"/>
            <w:bookmarkEnd w:id="63"/>
            <w:bookmarkEnd w:id="64"/>
            <w:r>
              <w:rPr/>
              <w:t xml:space="preserve">.01 par value, </w:t>
            </w:r>
            <w:bookmarkStart w:id="65" w:name="xdx_909_eus-gaap--PreferredStockSharesAu"/>
            <w:bookmarkStart w:id="66" w:name="xdx_90A_eus-gaap--PreferredStockSharesAu"/>
            <w:bookmarkEnd w:id="65"/>
            <w:bookmarkEnd w:id="66"/>
            <w:r>
              <w:rPr/>
              <w:t xml:space="preserve">24,088 shares authorized, and </w:t>
            </w:r>
            <w:bookmarkStart w:id="67" w:name="xdx_90E_eus-gaap--PreferredStockSharesOu"/>
            <w:bookmarkStart w:id="68" w:name="xdx_902_eus-gaap--PreferredStockSharesIs"/>
            <w:bookmarkStart w:id="69" w:name="xdx_90D_eus-gaap--PreferredStockSharesOu"/>
            <w:bookmarkStart w:id="70" w:name="xdx_90F_eus-gaap--PreferredStockSharesIs"/>
            <w:bookmarkEnd w:id="67"/>
            <w:bookmarkEnd w:id="68"/>
            <w:bookmarkEnd w:id="69"/>
            <w:bookmarkEnd w:id="70"/>
            <w:r>
              <w:rPr/>
              <w:t>no shares issued and outstanding</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180"/>
              <w:jc w:val="left"/>
              <w:rPr/>
            </w:pPr>
            <w:r>
              <w:rPr/>
              <w:t> </w:t>
            </w:r>
            <w:bookmarkStart w:id="71" w:name="xdx_405_eus-gaap--CommonStockValue_i02I_"/>
            <w:bookmarkEnd w:id="71"/>
          </w:p>
        </w:tc>
      </w:tr>
      <w:tr>
        <w:trPr/>
        <w:tc>
          <w:tcPr>
            <w:tcW w:w="7346" w:type="dxa"/>
            <w:tcBorders/>
            <w:shd w:fill="CCEEFF" w:val="clear"/>
            <w:vAlign w:val="center"/>
          </w:tcPr>
          <w:p>
            <w:pPr>
              <w:pStyle w:val="TableContents"/>
              <w:bidi w:val="0"/>
              <w:spacing w:before="0" w:after="283"/>
              <w:jc w:val="left"/>
              <w:rPr/>
            </w:pPr>
            <w:r>
              <w:rPr/>
              <w:t>Common stock, $</w:t>
            </w:r>
            <w:bookmarkStart w:id="72" w:name="xdx_90F_eus-gaap--CommonStockParOrStated"/>
            <w:bookmarkStart w:id="73" w:name="xdx_90B_eus-gaap--CommonStockParOrStated"/>
            <w:bookmarkEnd w:id="72"/>
            <w:bookmarkEnd w:id="73"/>
            <w:r>
              <w:rPr/>
              <w:t xml:space="preserve">.01 par value, </w:t>
            </w:r>
            <w:bookmarkStart w:id="74" w:name="xdx_903_eus-gaap--CommonStockSharesAutho"/>
            <w:bookmarkStart w:id="75" w:name="xdx_906_eus-gaap--CommonStockSharesAutho"/>
            <w:bookmarkEnd w:id="74"/>
            <w:bookmarkEnd w:id="75"/>
            <w:r>
              <w:rPr/>
              <w:t xml:space="preserve">95,000,000 shares authorized; </w:t>
            </w:r>
            <w:bookmarkStart w:id="76" w:name="xdx_909_eus-gaap--CommonStockSharesOutst"/>
            <w:bookmarkStart w:id="77" w:name="xdx_90A_eus-gaap--CommonStockSharesIssue"/>
            <w:bookmarkEnd w:id="76"/>
            <w:bookmarkEnd w:id="77"/>
            <w:r>
              <w:rPr/>
              <w:t xml:space="preserve">70,647,045 and </w:t>
            </w:r>
            <w:bookmarkStart w:id="78" w:name="xdx_904_eus-gaap--CommonStockSharesOutst"/>
            <w:bookmarkStart w:id="79" w:name="xdx_908_eus-gaap--CommonStockSharesIssue"/>
            <w:bookmarkEnd w:id="78"/>
            <w:bookmarkEnd w:id="79"/>
            <w:r>
              <w:rPr/>
              <w:t>70,614,045 shares issued and outstanding on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706</w:t>
            </w:r>
          </w:p>
        </w:tc>
        <w:tc>
          <w:tcPr>
            <w:tcW w:w="113" w:type="dxa"/>
            <w:tcBorders/>
            <w:shd w:fill="CCEEFF" w:val="clear"/>
            <w:vAlign w:val="center"/>
          </w:tcPr>
          <w:p>
            <w:pPr>
              <w:pStyle w:val="TableContents"/>
              <w:bidi w:val="0"/>
              <w:spacing w:before="0" w:after="283"/>
              <w:jc w:val="left"/>
              <w:rPr/>
            </w:pPr>
            <w:r>
              <w:rPr/>
              <w:t> </w:t>
            </w:r>
            <w:bookmarkStart w:id="80" w:name="xdx_40C_eus-gaap--AdditionalPaidInCapita"/>
            <w:bookmarkEnd w:id="80"/>
          </w:p>
        </w:tc>
      </w:tr>
      <w:tr>
        <w:trPr/>
        <w:tc>
          <w:tcPr>
            <w:tcW w:w="7346"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115,754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115,566</w:t>
            </w:r>
          </w:p>
        </w:tc>
        <w:tc>
          <w:tcPr>
            <w:tcW w:w="113" w:type="dxa"/>
            <w:tcBorders/>
            <w:shd w:fill="FFFFFF" w:val="clear"/>
            <w:vAlign w:val="center"/>
          </w:tcPr>
          <w:p>
            <w:pPr>
              <w:pStyle w:val="TableContents"/>
              <w:bidi w:val="0"/>
              <w:spacing w:before="0" w:after="283"/>
              <w:jc w:val="left"/>
              <w:rPr/>
            </w:pPr>
            <w:r>
              <w:rPr/>
              <w:t> </w:t>
            </w:r>
            <w:bookmarkStart w:id="81" w:name="xdx_408_eus-gaap--RetainedEarningsAccumu"/>
            <w:bookmarkEnd w:id="81"/>
          </w:p>
        </w:tc>
      </w:tr>
      <w:tr>
        <w:trPr/>
        <w:tc>
          <w:tcPr>
            <w:tcW w:w="7346"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pPr>
            <w:r>
              <w:rPr/>
              <w:t>(103,306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CCEEFF" w:val="clear"/>
            <w:tcMar>
              <w:bottom w:w="28" w:type="dxa"/>
            </w:tcMar>
            <w:vAlign w:val="center"/>
          </w:tcPr>
          <w:p>
            <w:pPr>
              <w:pStyle w:val="TableContents"/>
              <w:bidi w:val="0"/>
              <w:spacing w:before="0" w:after="283"/>
              <w:jc w:val="right"/>
              <w:rPr/>
            </w:pPr>
            <w:r>
              <w:rPr/>
              <w:t>(102,186</w:t>
            </w:r>
          </w:p>
        </w:tc>
        <w:tc>
          <w:tcPr>
            <w:tcW w:w="113" w:type="dxa"/>
            <w:tcBorders/>
            <w:shd w:fill="CCEEFF" w:val="clear"/>
            <w:vAlign w:val="center"/>
          </w:tcPr>
          <w:p>
            <w:pPr>
              <w:pStyle w:val="TableContents"/>
              <w:bidi w:val="0"/>
              <w:spacing w:before="0" w:after="283"/>
              <w:jc w:val="left"/>
              <w:rPr/>
            </w:pPr>
            <w:r>
              <w:rPr/>
              <w:t>)</w:t>
            </w:r>
            <w:bookmarkStart w:id="82" w:name="xdx_406_eus-gaap--StockholdersEquity_i02"/>
            <w:bookmarkEnd w:id="82"/>
          </w:p>
        </w:tc>
      </w:tr>
      <w:tr>
        <w:trPr/>
        <w:tc>
          <w:tcPr>
            <w:tcW w:w="7346"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pPr>
            <w:r>
              <w:rPr/>
              <w:t>13,154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pPr>
            <w:r>
              <w:rPr/>
              <w:t>14,086</w:t>
            </w:r>
          </w:p>
        </w:tc>
        <w:tc>
          <w:tcPr>
            <w:tcW w:w="113" w:type="dxa"/>
            <w:tcBorders/>
            <w:shd w:fill="FFFFFF" w:val="clear"/>
            <w:vAlign w:val="center"/>
          </w:tcPr>
          <w:p>
            <w:pPr>
              <w:pStyle w:val="TableContents"/>
              <w:bidi w:val="0"/>
              <w:spacing w:before="0" w:after="283"/>
              <w:jc w:val="left"/>
              <w:rPr/>
            </w:pPr>
            <w:r>
              <w:rPr/>
              <w:t> </w:t>
            </w:r>
            <w:bookmarkStart w:id="83" w:name="xdx_408_eus-gaap--LiabilitiesAndStockhol"/>
            <w:bookmarkEnd w:id="83"/>
          </w:p>
        </w:tc>
      </w:tr>
      <w:tr>
        <w:trPr/>
        <w:tc>
          <w:tcPr>
            <w:tcW w:w="734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7" w:type="dxa"/>
            <w:tcBorders>
              <w:bottom w:val="double" w:sz="6" w:space="0" w:color="000000"/>
            </w:tcBorders>
            <w:shd w:fill="CCEEFF" w:val="clear"/>
            <w:tcMar>
              <w:bottom w:w="28" w:type="dxa"/>
            </w:tcMar>
            <w:vAlign w:val="center"/>
          </w:tcPr>
          <w:p>
            <w:pPr>
              <w:pStyle w:val="TableContents"/>
              <w:bidi w:val="0"/>
              <w:spacing w:before="0" w:after="283"/>
              <w:jc w:val="right"/>
              <w:rPr/>
            </w:pPr>
            <w:r>
              <w:rPr/>
              <w:t>46,437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7" w:type="dxa"/>
            <w:tcBorders>
              <w:bottom w:val="double" w:sz="6" w:space="0" w:color="000000"/>
            </w:tcBorders>
            <w:shd w:fill="CCEEFF" w:val="clear"/>
            <w:tcMar>
              <w:bottom w:w="28" w:type="dxa"/>
            </w:tcMar>
            <w:vAlign w:val="center"/>
          </w:tcPr>
          <w:p>
            <w:pPr>
              <w:pStyle w:val="TableContents"/>
              <w:bidi w:val="0"/>
              <w:spacing w:before="0" w:after="283"/>
              <w:jc w:val="right"/>
              <w:rPr/>
            </w:pPr>
            <w:r>
              <w:rPr/>
              <w:t>46,507</w:t>
            </w:r>
          </w:p>
        </w:tc>
        <w:tc>
          <w:tcPr>
            <w:tcW w:w="113" w:type="dxa"/>
            <w:tcBorders/>
            <w:shd w:fill="CCEEFF" w:val="clear"/>
            <w:vAlign w:val="center"/>
          </w:tcPr>
          <w:p>
            <w:pPr>
              <w:pStyle w:val="TableContents"/>
              <w:bidi w:val="0"/>
              <w:spacing w:before="0" w:after="283"/>
              <w:jc w:val="left"/>
              <w:rPr/>
            </w:pPr>
            <w:r>
              <w:rPr/>
              <w:t> </w:t>
            </w:r>
          </w:p>
        </w:tc>
      </w:tr>
      <w:tr>
        <w:trPr/>
        <w:tc>
          <w:tcPr>
            <w:tcW w:w="73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4" w:right="44" w:hanging="0"/>
        <w:jc w:val="center"/>
        <w:rPr>
          <w:caps w:val="false"/>
          <w:smallCaps w:val="false"/>
        </w:rPr>
      </w:pPr>
      <w:r>
        <w:rPr>
          <w:caps w:val="false"/>
          <w:smallCaps w:val="false"/>
        </w:rPr>
        <w:t> </w:t>
      </w:r>
    </w:p>
    <w:p>
      <w:pPr>
        <w:pStyle w:val="TextBody"/>
        <w:bidi w:val="0"/>
        <w:spacing w:before="0" w:after="0"/>
        <w:ind w:left="44" w:right="44" w:hanging="0"/>
        <w:jc w:val="center"/>
        <w:rPr>
          <w:caps w:val="false"/>
          <w:smallCaps w:val="false"/>
        </w:rPr>
      </w:pPr>
      <w:r>
        <w:rPr>
          <w:caps w:val="false"/>
          <w:smallCaps w:val="false"/>
        </w:rPr>
        <w:t> </w:t>
      </w:r>
      <w:r>
        <w:rPr>
          <w:rFonts w:ascii="Times New Roman;Times;Serif" w:hAnsi="Times New Roman;Times;Serif"/>
          <w:b/>
          <w:i/>
          <w:caps w:val="false"/>
          <w:smallCaps w:val="false"/>
          <w:sz w:val="20"/>
        </w:rPr>
        <w:t>(See accompanying Notes to Consolidated Financial Statements)</w:t>
      </w:r>
    </w:p>
    <w:p>
      <w:pPr>
        <w:pStyle w:val="TextBody"/>
        <w:bidi w:val="0"/>
        <w:spacing w:before="0" w:after="0"/>
        <w:ind w:left="44" w:right="44"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SOLÉSENCE,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4" w:name="sol10qa004"/>
      <w:bookmarkEnd w:id="84"/>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Condensed)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Reviewed)</w:t>
      </w:r>
    </w:p>
    <w:p>
      <w:pPr>
        <w:pStyle w:val="Normal"/>
        <w:bidi w:val="0"/>
        <w:spacing w:before="0" w:after="0"/>
        <w:ind w:left="0" w:right="0" w:hanging="0"/>
        <w:jc w:val="left"/>
        <w:rPr>
          <w:sz w:val="4"/>
          <w:szCs w:val="4"/>
        </w:rPr>
      </w:pPr>
      <w:r>
        <w:rPr>
          <w:sz w:val="4"/>
          <w:szCs w:val="4"/>
        </w:rPr>
      </w:r>
      <w:bookmarkStart w:id="85" w:name="xdx_30A_113_pn3n3_zq5yUm6HLHXe"/>
      <w:bookmarkStart w:id="86" w:name="xdx_30A_113_pn3n3_zq5yUm6HLHXe"/>
      <w:bookmarkEnd w:id="86"/>
    </w:p>
    <w:tbl>
      <w:tblPr>
        <w:tblW w:w="10205" w:type="dxa"/>
        <w:jc w:val="left"/>
        <w:tblInd w:w="0" w:type="dxa"/>
        <w:tblLayout w:type="fixed"/>
        <w:tblCellMar>
          <w:top w:w="0" w:type="dxa"/>
          <w:left w:w="0" w:type="dxa"/>
          <w:bottom w:w="0" w:type="dxa"/>
          <w:right w:w="0" w:type="dxa"/>
        </w:tblCellMar>
      </w:tblPr>
      <w:tblGrid>
        <w:gridCol w:w="5220"/>
        <w:gridCol w:w="60"/>
        <w:gridCol w:w="125"/>
        <w:gridCol w:w="950"/>
        <w:gridCol w:w="155"/>
        <w:gridCol w:w="60"/>
        <w:gridCol w:w="125"/>
        <w:gridCol w:w="950"/>
        <w:gridCol w:w="60"/>
        <w:gridCol w:w="60"/>
        <w:gridCol w:w="125"/>
        <w:gridCol w:w="950"/>
        <w:gridCol w:w="155"/>
        <w:gridCol w:w="60"/>
        <w:gridCol w:w="125"/>
        <w:gridCol w:w="950"/>
        <w:gridCol w:w="75"/>
      </w:tblGrid>
      <w:tr>
        <w:trPr/>
        <w:tc>
          <w:tcPr>
            <w:tcW w:w="5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bookmarkStart w:id="87" w:name="xdx_490_20260401__20260630_z5Cq2mhJfye9"/>
            <w:bookmarkEnd w:id="87"/>
          </w:p>
        </w:tc>
        <w:tc>
          <w:tcPr>
            <w:tcW w:w="95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55"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bookmarkStart w:id="88" w:name="xdx_49B_20250401__20250630_zjIgwihrNCkj"/>
            <w:bookmarkEnd w:id="88"/>
          </w:p>
        </w:tc>
        <w:tc>
          <w:tcPr>
            <w:tcW w:w="95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bookmarkStart w:id="89" w:name="xdx_49F_20260101__20260630_z6hZ3i8NX3da"/>
            <w:bookmarkEnd w:id="89"/>
          </w:p>
        </w:tc>
        <w:tc>
          <w:tcPr>
            <w:tcW w:w="95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55"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bookmarkStart w:id="90" w:name="xdx_491_20250101__20250630_zcQHhKY4DDNe"/>
            <w:bookmarkEnd w:id="90"/>
          </w:p>
        </w:tc>
        <w:tc>
          <w:tcPr>
            <w:tcW w:w="950" w:type="dxa"/>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Three months ended</w:t>
            </w:r>
            <w:r>
              <w:rPr>
                <w:rFonts w:ascii="Times New Roman;Times;Serif" w:hAnsi="Times New Roman;Times;Serif"/>
                <w:sz w:val="20"/>
              </w:rPr>
              <w:br/>
            </w: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Six months ended</w:t>
            </w:r>
            <w:r>
              <w:rPr>
                <w:rFonts w:ascii="Times New Roman;Times;Serif" w:hAnsi="Times New Roman;Times;Serif"/>
                <w:sz w:val="20"/>
              </w:rPr>
              <w:br/>
            </w:r>
            <w:r>
              <w:rPr>
                <w:rFonts w:ascii="Times New Roman;Times;Serif" w:hAnsi="Times New Roman;Times;Serif"/>
                <w:b/>
                <w:sz w:val="20"/>
              </w:rPr>
              <w:t>June 30,</w:t>
            </w:r>
          </w:p>
        </w:tc>
        <w:tc>
          <w:tcPr>
            <w:tcW w:w="75" w:type="dxa"/>
            <w:tcBorders/>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55" w:type="dxa"/>
            <w:tcBorders/>
            <w:vAlign w:val="center"/>
          </w:tcPr>
          <w:p>
            <w:pPr>
              <w:pStyle w:val="TableContents"/>
              <w:bidi w:val="0"/>
              <w:spacing w:before="0" w:after="283"/>
              <w:jc w:val="left"/>
              <w:rPr/>
            </w:pPr>
            <w:r>
              <w:rPr/>
              <w:t> </w:t>
            </w:r>
          </w:p>
        </w:tc>
        <w:tc>
          <w:tcPr>
            <w:tcW w:w="1135"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bookmarkStart w:id="91" w:name="xdx_409_eus-gaap--RevenuesAbstract_iB_zU"/>
            <w:bookmarkEnd w:id="91"/>
          </w:p>
        </w:tc>
      </w:tr>
      <w:tr>
        <w:trPr/>
        <w:tc>
          <w:tcPr>
            <w:tcW w:w="52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Revenue: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2" w:name="xdx_980_eus-gaap--RevenueFromContractWit"/>
            <w:bookmarkEnd w:id="92"/>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 w:name="xdx_98C_eus-gaap--RevenueFromContractWit"/>
            <w:bookmarkEnd w:id="93"/>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4" w:name="xdx_98F_eus-gaap--RevenueFromContractWit"/>
            <w:bookmarkEnd w:id="94"/>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5" w:name="xdx_98F_eus-gaap--RevenueFromContractWit"/>
            <w:bookmarkEnd w:id="95"/>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34,836</w:t>
            </w:r>
          </w:p>
        </w:tc>
        <w:tc>
          <w:tcPr>
            <w:tcW w:w="75" w:type="dxa"/>
            <w:tcBorders/>
            <w:shd w:fill="CCEEFF" w:val="clear"/>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6" w:name="xdx_984_eus-gaap--RevenueFromContractWit"/>
            <w:bookmarkEnd w:id="96"/>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7" w:name="xdx_985_eus-gaap--RevenueFromContractWit"/>
            <w:bookmarkEnd w:id="97"/>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8" w:name="xdx_987_eus-gaap--RevenueFromContractWit"/>
            <w:bookmarkEnd w:id="98"/>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9" w:name="xdx_988_eus-gaap--RevenueFromContractWit"/>
            <w:bookmarkEnd w:id="99"/>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w:t>
            </w:r>
          </w:p>
        </w:tc>
        <w:tc>
          <w:tcPr>
            <w:tcW w:w="75" w:type="dxa"/>
            <w:tcBorders/>
            <w:shd w:fill="FFFFFF" w:val="clear"/>
            <w:vAlign w:val="center"/>
          </w:tcPr>
          <w:p>
            <w:pPr>
              <w:pStyle w:val="TableContents"/>
              <w:bidi w:val="0"/>
              <w:spacing w:before="0" w:after="283"/>
              <w:jc w:val="left"/>
              <w:rPr/>
            </w:pPr>
            <w:r>
              <w:rPr/>
              <w:t> </w:t>
            </w:r>
            <w:bookmarkStart w:id="100" w:name="xdx_40B_eus-gaap--RevenueFromContractWit"/>
            <w:bookmarkEnd w:id="100"/>
          </w:p>
        </w:tc>
      </w:tr>
      <w:tr>
        <w:trPr/>
        <w:tc>
          <w:tcPr>
            <w:tcW w:w="52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34,984</w:t>
            </w:r>
          </w:p>
        </w:tc>
        <w:tc>
          <w:tcPr>
            <w:tcW w:w="75" w:type="dxa"/>
            <w:tcBorders/>
            <w:shd w:fill="CCEEFF" w:val="clear"/>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01" w:name="xdx_405_eus-gaap--OperatingExpensesAbstr"/>
            <w:bookmarkEnd w:id="101"/>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Operating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right"/>
              <w:rPr/>
            </w:pPr>
            <w:r>
              <w:rPr/>
              <w:t> </w:t>
            </w:r>
          </w:p>
        </w:tc>
        <w:tc>
          <w:tcPr>
            <w:tcW w:w="95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02" w:name="xdx_40F_eus-gaap--CostOfGoodsAndServices"/>
            <w:bookmarkEnd w:id="102"/>
          </w:p>
        </w:tc>
      </w:tr>
      <w:tr>
        <w:trPr/>
        <w:tc>
          <w:tcPr>
            <w:tcW w:w="5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pPr>
            <w:r>
              <w:rPr/>
              <w:t>10,584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24,895</w:t>
            </w:r>
          </w:p>
        </w:tc>
        <w:tc>
          <w:tcPr>
            <w:tcW w:w="75" w:type="dxa"/>
            <w:tcBorders/>
            <w:shd w:fill="FFFFFF" w:val="clear"/>
            <w:vAlign w:val="center"/>
          </w:tcPr>
          <w:p>
            <w:pPr>
              <w:pStyle w:val="TableContents"/>
              <w:bidi w:val="0"/>
              <w:spacing w:before="0" w:after="283"/>
              <w:jc w:val="left"/>
              <w:rPr/>
            </w:pPr>
            <w:r>
              <w:rPr/>
              <w:t> </w:t>
            </w:r>
            <w:bookmarkStart w:id="103" w:name="xdx_404_eus-gaap--GrossProfit_iT_mtCzhij"/>
            <w:bookmarkEnd w:id="103"/>
          </w:p>
        </w:tc>
      </w:tr>
      <w:tr>
        <w:trPr/>
        <w:tc>
          <w:tcPr>
            <w:tcW w:w="52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10,089</w:t>
            </w:r>
          </w:p>
        </w:tc>
        <w:tc>
          <w:tcPr>
            <w:tcW w:w="75" w:type="dxa"/>
            <w:tcBorders/>
            <w:shd w:fill="CCEEFF" w:val="clear"/>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04" w:name="xdx_400_eus-gaap--ResearchAndDevelopment"/>
            <w:bookmarkEnd w:id="104"/>
          </w:p>
        </w:tc>
      </w:tr>
      <w:tr>
        <w:trPr/>
        <w:tc>
          <w:tcPr>
            <w:tcW w:w="52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Research and development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1,973</w:t>
            </w:r>
          </w:p>
        </w:tc>
        <w:tc>
          <w:tcPr>
            <w:tcW w:w="75" w:type="dxa"/>
            <w:tcBorders/>
            <w:shd w:fill="CCEEFF" w:val="clear"/>
            <w:vAlign w:val="center"/>
          </w:tcPr>
          <w:p>
            <w:pPr>
              <w:pStyle w:val="TableContents"/>
              <w:bidi w:val="0"/>
              <w:spacing w:before="0" w:after="283"/>
              <w:jc w:val="left"/>
              <w:rPr/>
            </w:pPr>
            <w:r>
              <w:rPr/>
              <w:t> </w:t>
            </w:r>
            <w:bookmarkStart w:id="105" w:name="xdx_407_eus-gaap--SellingGeneralAndAdmin"/>
            <w:bookmarkEnd w:id="105"/>
          </w:p>
        </w:tc>
      </w:tr>
      <w:tr>
        <w:trPr/>
        <w:tc>
          <w:tcPr>
            <w:tcW w:w="5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6,479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5,120</w:t>
            </w:r>
          </w:p>
        </w:tc>
        <w:tc>
          <w:tcPr>
            <w:tcW w:w="75" w:type="dxa"/>
            <w:tcBorders/>
            <w:shd w:fill="FFFFFF" w:val="clear"/>
            <w:vAlign w:val="center"/>
          </w:tcPr>
          <w:p>
            <w:pPr>
              <w:pStyle w:val="TableContents"/>
              <w:bidi w:val="0"/>
              <w:spacing w:before="0" w:after="283"/>
              <w:jc w:val="left"/>
              <w:rPr/>
            </w:pPr>
            <w:r>
              <w:rPr/>
              <w:t> </w:t>
            </w:r>
            <w:bookmarkStart w:id="106" w:name="xdx_409_eus-gaap--OperatingIncomeLoss_iT"/>
            <w:bookmarkEnd w:id="106"/>
          </w:p>
        </w:tc>
      </w:tr>
      <w:tr>
        <w:trPr/>
        <w:tc>
          <w:tcPr>
            <w:tcW w:w="52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income (loss)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(579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2,996</w:t>
            </w:r>
          </w:p>
        </w:tc>
        <w:tc>
          <w:tcPr>
            <w:tcW w:w="75" w:type="dxa"/>
            <w:tcBorders/>
            <w:shd w:fill="CCEEFF" w:val="clear"/>
            <w:vAlign w:val="center"/>
          </w:tcPr>
          <w:p>
            <w:pPr>
              <w:pStyle w:val="TableContents"/>
              <w:bidi w:val="0"/>
              <w:spacing w:before="0" w:after="283"/>
              <w:jc w:val="left"/>
              <w:rPr/>
            </w:pPr>
            <w:r>
              <w:rPr/>
              <w:t> </w:t>
            </w:r>
            <w:bookmarkStart w:id="107" w:name="xdx_40E_eus-gaap--InterestIncomeExpenseN"/>
            <w:bookmarkEnd w:id="107"/>
          </w:p>
        </w:tc>
      </w:tr>
      <w:tr>
        <w:trPr/>
        <w:tc>
          <w:tcPr>
            <w:tcW w:w="5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w:t>
            </w:r>
          </w:p>
        </w:tc>
        <w:tc>
          <w:tcPr>
            <w:tcW w:w="75" w:type="dxa"/>
            <w:tcBorders/>
            <w:shd w:fill="FFFFFF" w:val="clear"/>
            <w:vAlign w:val="center"/>
          </w:tcPr>
          <w:p>
            <w:pPr>
              <w:pStyle w:val="TableContents"/>
              <w:bidi w:val="0"/>
              <w:spacing w:before="0" w:after="283"/>
              <w:jc w:val="left"/>
              <w:rPr/>
            </w:pPr>
            <w:r>
              <w:rPr/>
              <w:t> </w:t>
            </w:r>
            <w:bookmarkStart w:id="108" w:name="xdx_401_eus-gaap--OtherNonoperatingIncom"/>
            <w:bookmarkEnd w:id="108"/>
          </w:p>
        </w:tc>
      </w:tr>
      <w:tr>
        <w:trPr/>
        <w:tc>
          <w:tcPr>
            <w:tcW w:w="52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income,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1,234</w:t>
            </w:r>
          </w:p>
        </w:tc>
        <w:tc>
          <w:tcPr>
            <w:tcW w:w="75" w:type="dxa"/>
            <w:tcBorders/>
            <w:shd w:fill="CCEEFF" w:val="clear"/>
            <w:vAlign w:val="center"/>
          </w:tcPr>
          <w:p>
            <w:pPr>
              <w:pStyle w:val="TableContents"/>
              <w:bidi w:val="0"/>
              <w:spacing w:before="0" w:after="283"/>
              <w:jc w:val="left"/>
              <w:rPr/>
            </w:pPr>
            <w:r>
              <w:rPr/>
              <w:t> </w:t>
            </w:r>
            <w:bookmarkStart w:id="109" w:name="xdx_40A_eus-gaap--IncomeLossFromContinui"/>
            <w:bookmarkEnd w:id="109"/>
          </w:p>
        </w:tc>
      </w:tr>
      <w:tr>
        <w:trPr/>
        <w:tc>
          <w:tcPr>
            <w:tcW w:w="5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income (loss) before provision for income taxes</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pPr>
            <w:r>
              <w:rPr/>
              <w:t>(1,120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3,967</w:t>
            </w:r>
          </w:p>
        </w:tc>
        <w:tc>
          <w:tcPr>
            <w:tcW w:w="75" w:type="dxa"/>
            <w:tcBorders/>
            <w:vAlign w:val="center"/>
          </w:tcPr>
          <w:p>
            <w:pPr>
              <w:pStyle w:val="TableContents"/>
              <w:bidi w:val="0"/>
              <w:spacing w:before="0" w:after="283"/>
              <w:jc w:val="left"/>
              <w:rPr/>
            </w:pPr>
            <w:r>
              <w:rPr/>
              <w:t> </w:t>
            </w:r>
            <w:bookmarkStart w:id="110" w:name="xdx_406_eus-gaap--IncomeTaxExpenseBenefi"/>
            <w:bookmarkEnd w:id="110"/>
          </w:p>
        </w:tc>
      </w:tr>
      <w:tr>
        <w:trPr/>
        <w:tc>
          <w:tcPr>
            <w:tcW w:w="52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w:t>
            </w:r>
          </w:p>
        </w:tc>
        <w:tc>
          <w:tcPr>
            <w:tcW w:w="75" w:type="dxa"/>
            <w:tcBorders/>
            <w:shd w:fill="CCEEFF" w:val="clear"/>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111" w:name="xdx_40C_eus-gaap--NetIncomeLoss_iT_mtNIL"/>
            <w:bookmarkEnd w:id="111"/>
          </w:p>
        </w:tc>
      </w:tr>
      <w:tr>
        <w:trPr/>
        <w:tc>
          <w:tcPr>
            <w:tcW w:w="52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pPr>
            <w:r>
              <w:rPr/>
              <w:t>(158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pPr>
            <w:r>
              <w:rPr/>
              <w:t>(1,120</w:t>
            </w:r>
          </w:p>
        </w:tc>
        <w:tc>
          <w:tcPr>
            <w:tcW w:w="1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3,577</w:t>
            </w:r>
          </w:p>
        </w:tc>
        <w:tc>
          <w:tcPr>
            <w:tcW w:w="75" w:type="dxa"/>
            <w:tcBorders/>
            <w:shd w:fill="CCEEFF" w:val="clear"/>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112" w:name="xdx_407_eus-gaap--EarningsPerShareBasic_"/>
            <w:bookmarkEnd w:id="112"/>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(loss) per share-basic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(0.02</w:t>
            </w:r>
          </w:p>
        </w:tc>
        <w:tc>
          <w:tcPr>
            <w:tcW w:w="1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0.05</w:t>
            </w:r>
          </w:p>
        </w:tc>
        <w:tc>
          <w:tcPr>
            <w:tcW w:w="75" w:type="dxa"/>
            <w:tcBorders/>
            <w:shd w:fill="CCEEFF" w:val="clear"/>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113" w:name="xdx_40B_eus-gaap--WeightedAverageNumberO"/>
            <w:bookmarkEnd w:id="113"/>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number of basic common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70,637,199</w:t>
            </w:r>
          </w:p>
        </w:tc>
        <w:tc>
          <w:tcPr>
            <w:tcW w:w="15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70,200,039</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70,631,380</w:t>
            </w:r>
          </w:p>
        </w:tc>
        <w:tc>
          <w:tcPr>
            <w:tcW w:w="1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70,151,928</w:t>
            </w:r>
          </w:p>
        </w:tc>
        <w:tc>
          <w:tcPr>
            <w:tcW w:w="75" w:type="dxa"/>
            <w:tcBorders/>
            <w:shd w:fill="CCEEFF" w:val="clear"/>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114" w:name="xdx_401_eus-gaap--EarningsPerShareDilute"/>
            <w:bookmarkEnd w:id="114"/>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(loss) per share-diluted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4"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4"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4"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(0.02</w:t>
            </w:r>
          </w:p>
        </w:tc>
        <w:tc>
          <w:tcPr>
            <w:tcW w:w="1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4"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0.05</w:t>
            </w:r>
          </w:p>
        </w:tc>
        <w:tc>
          <w:tcPr>
            <w:tcW w:w="75" w:type="dxa"/>
            <w:tcBorders/>
            <w:shd w:fill="CCEEFF" w:val="clear"/>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115" w:name="xdx_400_eus-gaap--WeightedAverageNumberO"/>
            <w:bookmarkEnd w:id="115"/>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number of diluted common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70,637,199</w:t>
            </w:r>
          </w:p>
        </w:tc>
        <w:tc>
          <w:tcPr>
            <w:tcW w:w="1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72,580,679</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70,631,380</w:t>
            </w:r>
          </w:p>
        </w:tc>
        <w:tc>
          <w:tcPr>
            <w:tcW w:w="1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72,497,929</w:t>
            </w:r>
          </w:p>
        </w:tc>
        <w:tc>
          <w:tcPr>
            <w:tcW w:w="75" w:type="dxa"/>
            <w:tcBorders/>
            <w:shd w:fill="CCEEFF" w:val="clear"/>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SOLÉSENCE,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6" w:name="sol10qa005"/>
      <w:bookmarkEnd w:id="116"/>
      <w:r>
        <w:rPr>
          <w:rFonts w:ascii="Times New Roman;Times;Serif" w:hAnsi="Times New Roman;Times;Serif"/>
          <w:b/>
          <w:i w:val="false"/>
          <w:caps w:val="false"/>
          <w:smallCaps w:val="false"/>
          <w:sz w:val="20"/>
        </w:rPr>
        <w:t>CONSOLIDATED STATEMENTS OF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Condensed)</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Reviewed)</w:t>
      </w:r>
    </w:p>
    <w:p>
      <w:pPr>
        <w:pStyle w:val="Normal"/>
        <w:bidi w:val="0"/>
        <w:spacing w:before="0" w:after="0"/>
        <w:ind w:left="0" w:right="0" w:hanging="0"/>
        <w:jc w:val="left"/>
        <w:rPr>
          <w:sz w:val="4"/>
          <w:szCs w:val="4"/>
        </w:rPr>
      </w:pPr>
      <w:r>
        <w:rPr>
          <w:sz w:val="4"/>
          <w:szCs w:val="4"/>
        </w:rPr>
      </w:r>
      <w:bookmarkStart w:id="117" w:name="xdx_309_114_pn3n3_zB3FCAoCQgUl"/>
      <w:bookmarkStart w:id="118" w:name="xdx_309_114_pn3n3_zB3FCAoCQgUl"/>
      <w:bookmarkEnd w:id="118"/>
    </w:p>
    <w:tbl>
      <w:tblPr>
        <w:tblW w:w="10205" w:type="dxa"/>
        <w:jc w:val="left"/>
        <w:tblInd w:w="0" w:type="dxa"/>
        <w:tblLayout w:type="fixed"/>
        <w:tblCellMar>
          <w:top w:w="0" w:type="dxa"/>
          <w:left w:w="0" w:type="dxa"/>
          <w:bottom w:w="0" w:type="dxa"/>
          <w:right w:w="0" w:type="dxa"/>
        </w:tblCellMar>
      </w:tblPr>
      <w:tblGrid>
        <w:gridCol w:w="3353"/>
        <w:gridCol w:w="60"/>
        <w:gridCol w:w="110"/>
        <w:gridCol w:w="480"/>
        <w:gridCol w:w="85"/>
        <w:gridCol w:w="85"/>
        <w:gridCol w:w="224"/>
        <w:gridCol w:w="471"/>
        <w:gridCol w:w="60"/>
        <w:gridCol w:w="60"/>
        <w:gridCol w:w="60"/>
        <w:gridCol w:w="950"/>
        <w:gridCol w:w="60"/>
        <w:gridCol w:w="60"/>
        <w:gridCol w:w="188"/>
        <w:gridCol w:w="507"/>
        <w:gridCol w:w="60"/>
        <w:gridCol w:w="60"/>
        <w:gridCol w:w="144"/>
        <w:gridCol w:w="806"/>
        <w:gridCol w:w="60"/>
        <w:gridCol w:w="60"/>
        <w:gridCol w:w="160"/>
        <w:gridCol w:w="970"/>
        <w:gridCol w:w="155"/>
        <w:gridCol w:w="60"/>
        <w:gridCol w:w="125"/>
        <w:gridCol w:w="590"/>
        <w:gridCol w:w="142"/>
      </w:tblGrid>
      <w:tr>
        <w:trPr/>
        <w:tc>
          <w:tcPr>
            <w:tcW w:w="335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center"/>
              <w:rPr/>
            </w:pPr>
            <w:r>
              <w:rPr/>
              <w:t> </w:t>
            </w:r>
          </w:p>
        </w:tc>
        <w:tc>
          <w:tcPr>
            <w:tcW w:w="224" w:type="dxa"/>
            <w:tcBorders/>
            <w:vAlign w:val="center"/>
          </w:tcPr>
          <w:p>
            <w:pPr>
              <w:pStyle w:val="TableContents"/>
              <w:bidi w:val="0"/>
              <w:spacing w:before="0" w:after="283"/>
              <w:jc w:val="left"/>
              <w:rPr/>
            </w:pPr>
            <w:r>
              <w:rPr/>
              <w:t> </w:t>
            </w:r>
            <w:bookmarkStart w:id="119" w:name="xdx_4B5_us-gaap--StatementEquityComponen"/>
            <w:bookmarkEnd w:id="119"/>
          </w:p>
        </w:tc>
        <w:tc>
          <w:tcPr>
            <w:tcW w:w="4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8" w:type="dxa"/>
            <w:tcBorders/>
            <w:vAlign w:val="center"/>
          </w:tcPr>
          <w:p>
            <w:pPr>
              <w:pStyle w:val="TableContents"/>
              <w:bidi w:val="0"/>
              <w:spacing w:before="0" w:after="283"/>
              <w:jc w:val="left"/>
              <w:rPr/>
            </w:pPr>
            <w:r>
              <w:rPr/>
              <w:t> </w:t>
            </w:r>
            <w:bookmarkStart w:id="120" w:name="xdx_4B9_us-gaap--StatementEquityComponen"/>
            <w:bookmarkEnd w:id="120"/>
          </w:p>
        </w:tc>
        <w:tc>
          <w:tcPr>
            <w:tcW w:w="5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1" w:name="xdx_4BC_us-gaap--StatementEquityComponen"/>
            <w:bookmarkEnd w:id="121"/>
          </w:p>
        </w:tc>
        <w:tc>
          <w:tcPr>
            <w:tcW w:w="9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2" w:name="xdx_4BD_us-gaap--StatementEquityComponen"/>
            <w:bookmarkEnd w:id="122"/>
          </w:p>
        </w:tc>
        <w:tc>
          <w:tcPr>
            <w:tcW w:w="1130"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3" w:name="xdx_4B5_zkFRwchEuhf7"/>
            <w:bookmarkEnd w:id="123"/>
          </w:p>
        </w:tc>
        <w:tc>
          <w:tcPr>
            <w:tcW w:w="715" w:type="dxa"/>
            <w:gridSpan w:val="2"/>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ind w:left="0" w:right="0" w:hanging="180"/>
              <w:jc w:val="left"/>
              <w:rPr/>
            </w:pPr>
            <w:r>
              <w:rPr/>
              <w:t> </w:t>
            </w:r>
          </w:p>
        </w:tc>
      </w:tr>
      <w:tr>
        <w:trPr/>
        <w:tc>
          <w:tcPr>
            <w:tcW w:w="33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 xml:space="preserve">Additional </w:t>
            </w:r>
            <w:r>
              <w:rPr>
                <w:rFonts w:ascii="Times New Roman;Times;Serif" w:hAnsi="Times New Roman;Times;Serif"/>
                <w:sz w:val="20"/>
              </w:rPr>
              <w:br/>
            </w:r>
            <w:r>
              <w:rPr>
                <w:rFonts w:ascii="Times New Roman;Times;Serif" w:hAnsi="Times New Roman;Times;Serif"/>
                <w:b/>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ind w:left="0" w:right="0" w:hanging="180"/>
              <w:jc w:val="left"/>
              <w:rPr/>
            </w:pPr>
            <w:r>
              <w:rPr/>
              <w:t> </w:t>
            </w:r>
          </w:p>
        </w:tc>
      </w:tr>
      <w:tr>
        <w:trPr/>
        <w:tc>
          <w:tcPr>
            <w:tcW w:w="335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c>
          <w:tcPr>
            <w:tcW w:w="6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142" w:type="dxa"/>
            <w:tcBorders/>
            <w:vAlign w:val="center"/>
          </w:tcPr>
          <w:p>
            <w:pPr>
              <w:pStyle w:val="TableContents"/>
              <w:bidi w:val="0"/>
              <w:spacing w:before="0" w:after="283"/>
              <w:ind w:left="0" w:right="0" w:hanging="180"/>
              <w:jc w:val="left"/>
              <w:rPr/>
            </w:pPr>
            <w:r>
              <w:rPr/>
              <w:t> </w:t>
            </w:r>
            <w:bookmarkStart w:id="124" w:name="xdx_437_c20250101__20250331_eus-gaap--St"/>
            <w:bookmarkEnd w:id="124"/>
          </w:p>
        </w:tc>
      </w:tr>
      <w:tr>
        <w:trPr/>
        <w:tc>
          <w:tcPr>
            <w:tcW w:w="33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on December 31, 2024</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right"/>
              <w:rPr/>
            </w:pPr>
            <w:r>
              <w:rPr/>
              <w:t> </w:t>
            </w:r>
            <w:bookmarkStart w:id="125" w:name="xdx_986_eus-gaap--SharesOutstanding_iS_p"/>
            <w:bookmarkEnd w:id="125"/>
          </w:p>
        </w:tc>
        <w:tc>
          <w:tcPr>
            <w:tcW w:w="480"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2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bookmarkStart w:id="126" w:name="xdx_980_eus-gaap--SharesOutstanding_iS_p"/>
            <w:bookmarkEnd w:id="126"/>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70,103,279</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700</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114,674</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(105,021</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10,353</w:t>
            </w:r>
          </w:p>
        </w:tc>
        <w:tc>
          <w:tcPr>
            <w:tcW w:w="142" w:type="dxa"/>
            <w:tcBorders/>
            <w:shd w:fill="CCEEFF" w:val="clear"/>
            <w:vAlign w:val="center"/>
          </w:tcPr>
          <w:p>
            <w:pPr>
              <w:pStyle w:val="TableContents"/>
              <w:bidi w:val="0"/>
              <w:spacing w:before="0" w:after="283"/>
              <w:ind w:left="0" w:right="0" w:hanging="180"/>
              <w:jc w:val="left"/>
              <w:rPr/>
            </w:pPr>
            <w:r>
              <w:rPr/>
              <w:t> </w:t>
            </w:r>
            <w:bookmarkStart w:id="127" w:name="xdx_403_eus-gaap--StockIssuedDuringPerio"/>
            <w:bookmarkEnd w:id="127"/>
          </w:p>
        </w:tc>
      </w:tr>
      <w:tr>
        <w:trPr/>
        <w:tc>
          <w:tcPr>
            <w:tcW w:w="33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shares and stock option exercises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right"/>
              <w:rPr/>
            </w:pPr>
            <w:r>
              <w:rPr/>
              <w:t> </w:t>
            </w:r>
          </w:p>
        </w:tc>
        <w:tc>
          <w:tcPr>
            <w:tcW w:w="480" w:type="dxa"/>
            <w:tcBorders/>
            <w:vAlign w:val="center"/>
          </w:tcPr>
          <w:p>
            <w:pPr>
              <w:pStyle w:val="TableContents"/>
              <w:bidi w:val="0"/>
              <w:spacing w:before="0" w:after="283"/>
              <w:jc w:val="right"/>
              <w:rPr/>
            </w:pPr>
            <w:r>
              <w:rPr/>
              <w:t>—</w:t>
            </w:r>
          </w:p>
        </w:tc>
        <w:tc>
          <w:tcPr>
            <w:tcW w:w="85" w:type="dxa"/>
            <w:tcBorders/>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jc w:val="right"/>
              <w:rPr/>
            </w:pPr>
            <w:r>
              <w:rPr/>
              <w:t> </w:t>
            </w:r>
          </w:p>
        </w:tc>
        <w:tc>
          <w:tcPr>
            <w:tcW w:w="224"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142" w:type="dxa"/>
            <w:tcBorders/>
            <w:vAlign w:val="center"/>
          </w:tcPr>
          <w:p>
            <w:pPr>
              <w:pStyle w:val="TableContents"/>
              <w:bidi w:val="0"/>
              <w:spacing w:before="0" w:after="283"/>
              <w:ind w:left="0" w:right="0" w:hanging="180"/>
              <w:jc w:val="left"/>
              <w:rPr/>
            </w:pPr>
            <w:r>
              <w:rPr/>
              <w:t> </w:t>
            </w:r>
            <w:bookmarkStart w:id="128" w:name="xdx_40C_eus-gaap--AdjustmentsToAdditiona"/>
            <w:bookmarkEnd w:id="128"/>
          </w:p>
        </w:tc>
      </w:tr>
      <w:tr>
        <w:trPr/>
        <w:tc>
          <w:tcPr>
            <w:tcW w:w="33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right"/>
              <w:rPr/>
            </w:pPr>
            <w:r>
              <w:rPr/>
              <w:t> </w:t>
            </w:r>
          </w:p>
        </w:tc>
        <w:tc>
          <w:tcPr>
            <w:tcW w:w="480"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224"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w:t>
            </w:r>
          </w:p>
        </w:tc>
        <w:tc>
          <w:tcPr>
            <w:tcW w:w="142" w:type="dxa"/>
            <w:tcBorders/>
            <w:shd w:fill="CCEEFF" w:val="clear"/>
            <w:vAlign w:val="center"/>
          </w:tcPr>
          <w:p>
            <w:pPr>
              <w:pStyle w:val="TableContents"/>
              <w:bidi w:val="0"/>
              <w:spacing w:before="0" w:after="283"/>
              <w:ind w:left="0" w:right="0" w:hanging="180"/>
              <w:jc w:val="left"/>
              <w:rPr/>
            </w:pPr>
            <w:r>
              <w:rPr/>
              <w:t> </w:t>
            </w:r>
            <w:bookmarkStart w:id="129" w:name="xdx_407_eus-gaap--NetIncomeLoss_zvP8XqiS"/>
            <w:bookmarkEnd w:id="129"/>
          </w:p>
        </w:tc>
      </w:tr>
      <w:tr>
        <w:trPr/>
        <w:tc>
          <w:tcPr>
            <w:tcW w:w="33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for the three months ended March 31, 2025</w:t>
            </w:r>
          </w:p>
        </w:tc>
        <w:tc>
          <w:tcPr>
            <w:tcW w:w="60" w:type="dxa"/>
            <w:tcBorders/>
            <w:vAlign w:val="center"/>
          </w:tcPr>
          <w:p>
            <w:pPr>
              <w:pStyle w:val="TableContents"/>
              <w:bidi w:val="0"/>
              <w:spacing w:before="0" w:after="283"/>
              <w:jc w:val="left"/>
              <w:rPr/>
            </w:pPr>
            <w:r>
              <w:rPr/>
              <w:t> </w:t>
            </w:r>
          </w:p>
        </w:tc>
        <w:tc>
          <w:tcPr>
            <w:tcW w:w="110" w:type="dxa"/>
            <w:tcBorders>
              <w:bottom w:val="single" w:sz="8" w:space="0" w:color="000000"/>
            </w:tcBorders>
            <w:tcMar>
              <w:bottom w:w="28" w:type="dxa"/>
            </w:tcMar>
            <w:vAlign w:val="center"/>
          </w:tcPr>
          <w:p>
            <w:pPr>
              <w:pStyle w:val="TableContents"/>
              <w:bidi w:val="0"/>
              <w:spacing w:before="0" w:after="283"/>
              <w:jc w:val="right"/>
              <w:rPr/>
            </w:pPr>
            <w:r>
              <w:rPr/>
              <w:t> </w:t>
            </w:r>
          </w:p>
        </w:tc>
        <w:tc>
          <w:tcPr>
            <w:tcW w:w="480" w:type="dxa"/>
            <w:tcBorders>
              <w:bottom w:val="single" w:sz="8" w:space="0" w:color="000000"/>
            </w:tcBorders>
            <w:tcMar>
              <w:bottom w:w="28" w:type="dxa"/>
            </w:tcMar>
            <w:vAlign w:val="center"/>
          </w:tcPr>
          <w:p>
            <w:pPr>
              <w:pStyle w:val="TableContents"/>
              <w:bidi w:val="0"/>
              <w:spacing w:before="0" w:after="283"/>
              <w:jc w:val="right"/>
              <w:rPr/>
            </w:pPr>
            <w:r>
              <w:rPr/>
              <w:t>—</w:t>
            </w:r>
          </w:p>
        </w:tc>
        <w:tc>
          <w:tcPr>
            <w:tcW w:w="85" w:type="dxa"/>
            <w:tcBorders/>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jc w:val="right"/>
              <w:rPr/>
            </w:pPr>
            <w:r>
              <w:rPr/>
              <w:t> </w:t>
            </w:r>
          </w:p>
        </w:tc>
        <w:tc>
          <w:tcPr>
            <w:tcW w:w="224" w:type="dxa"/>
            <w:tcBorders>
              <w:bottom w:val="single" w:sz="8" w:space="0" w:color="000000"/>
            </w:tcBorders>
            <w:tcMar>
              <w:bottom w:w="28" w:type="dxa"/>
            </w:tcMar>
            <w:vAlign w:val="center"/>
          </w:tcPr>
          <w:p>
            <w:pPr>
              <w:pStyle w:val="TableContents"/>
              <w:bidi w:val="0"/>
              <w:spacing w:before="0" w:after="283"/>
              <w:jc w:val="left"/>
              <w:rPr/>
            </w:pPr>
            <w:r>
              <w:rPr/>
              <w:t> </w:t>
            </w:r>
          </w:p>
        </w:tc>
        <w:tc>
          <w:tcPr>
            <w:tcW w:w="471"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righ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88" w:type="dxa"/>
            <w:tcBorders>
              <w:bottom w:val="single" w:sz="8" w:space="0" w:color="000000"/>
            </w:tcBorders>
            <w:tcMar>
              <w:bottom w:w="28" w:type="dxa"/>
            </w:tcMar>
            <w:vAlign w:val="center"/>
          </w:tcPr>
          <w:p>
            <w:pPr>
              <w:pStyle w:val="TableContents"/>
              <w:bidi w:val="0"/>
              <w:spacing w:before="0" w:after="283"/>
              <w:jc w:val="left"/>
              <w:rPr/>
            </w:pPr>
            <w:r>
              <w:rPr/>
              <w:t> </w:t>
            </w:r>
          </w:p>
        </w:tc>
        <w:tc>
          <w:tcPr>
            <w:tcW w:w="507"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806"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343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343</w:t>
            </w:r>
          </w:p>
        </w:tc>
        <w:tc>
          <w:tcPr>
            <w:tcW w:w="142" w:type="dxa"/>
            <w:tcBorders/>
            <w:vAlign w:val="center"/>
          </w:tcPr>
          <w:p>
            <w:pPr>
              <w:pStyle w:val="TableContents"/>
              <w:bidi w:val="0"/>
              <w:spacing w:before="0" w:after="283"/>
              <w:ind w:left="0" w:right="0" w:hanging="180"/>
              <w:jc w:val="left"/>
              <w:rPr/>
            </w:pPr>
            <w:r>
              <w:rPr/>
              <w:t> </w:t>
            </w:r>
            <w:bookmarkStart w:id="130" w:name="xdx_436_c20250401__20250630_eus-gaap--St"/>
            <w:bookmarkEnd w:id="130"/>
          </w:p>
        </w:tc>
      </w:tr>
      <w:tr>
        <w:trPr/>
        <w:tc>
          <w:tcPr>
            <w:tcW w:w="33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on March 31, 2025</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131" w:name="xdx_982_eus-gaap--SharesOutstanding_iS_p"/>
            <w:bookmarkEnd w:id="131"/>
          </w:p>
        </w:tc>
        <w:tc>
          <w:tcPr>
            <w:tcW w:w="4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132" w:name="xdx_98C_eus-gaap--SharesOutstanding_iS_p"/>
            <w:bookmarkEnd w:id="132"/>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70,103,279</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700</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114,804</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pPr>
            <w:r>
              <w:rPr/>
              <w:t> </w:t>
            </w:r>
          </w:p>
        </w:tc>
        <w:tc>
          <w:tcPr>
            <w:tcW w:w="97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(104,678</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pPr>
            <w:r>
              <w:rPr/>
              <w:t> </w:t>
            </w:r>
          </w:p>
        </w:tc>
        <w:tc>
          <w:tcPr>
            <w:tcW w:w="59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10,826</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33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right"/>
              <w:rPr/>
            </w:pPr>
            <w:r>
              <w:rPr/>
              <w:t> </w:t>
            </w:r>
          </w:p>
        </w:tc>
        <w:tc>
          <w:tcPr>
            <w:tcW w:w="480" w:type="dxa"/>
            <w:tcBorders/>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jc w:val="right"/>
              <w:rPr/>
            </w:pPr>
            <w:r>
              <w:rPr/>
              <w:t> </w:t>
            </w:r>
          </w:p>
        </w:tc>
        <w:tc>
          <w:tcPr>
            <w:tcW w:w="224"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ind w:left="0" w:right="0" w:hanging="180"/>
              <w:jc w:val="left"/>
              <w:rPr/>
            </w:pPr>
            <w:r>
              <w:rPr/>
              <w:t> </w:t>
            </w:r>
            <w:bookmarkStart w:id="133" w:name="xdx_403_eus-gaap--StockIssuedDuringPerio"/>
            <w:bookmarkEnd w:id="133"/>
          </w:p>
        </w:tc>
      </w:tr>
      <w:tr>
        <w:trPr/>
        <w:tc>
          <w:tcPr>
            <w:tcW w:w="33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shares and stock option exercises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right"/>
              <w:rPr/>
            </w:pPr>
            <w:r>
              <w:rPr/>
              <w:t> </w:t>
            </w:r>
          </w:p>
        </w:tc>
        <w:tc>
          <w:tcPr>
            <w:tcW w:w="480"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224"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bookmarkStart w:id="134" w:name="xdx_988_eus-gaap--StockIssuedDuringPerio"/>
            <w:bookmarkEnd w:id="134"/>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378,666</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w:t>
            </w:r>
          </w:p>
        </w:tc>
        <w:tc>
          <w:tcPr>
            <w:tcW w:w="142" w:type="dxa"/>
            <w:tcBorders/>
            <w:shd w:fill="CCEEFF" w:val="clear"/>
            <w:vAlign w:val="center"/>
          </w:tcPr>
          <w:p>
            <w:pPr>
              <w:pStyle w:val="TableContents"/>
              <w:bidi w:val="0"/>
              <w:spacing w:before="0" w:after="283"/>
              <w:ind w:left="0" w:right="0" w:hanging="180"/>
              <w:jc w:val="left"/>
              <w:rPr/>
            </w:pPr>
            <w:r>
              <w:rPr/>
              <w:t> </w:t>
            </w:r>
            <w:bookmarkStart w:id="135" w:name="xdx_40C_eus-gaap--AdjustmentsToAdditiona"/>
            <w:bookmarkEnd w:id="135"/>
          </w:p>
        </w:tc>
      </w:tr>
      <w:tr>
        <w:trPr/>
        <w:tc>
          <w:tcPr>
            <w:tcW w:w="33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right"/>
              <w:rPr/>
            </w:pPr>
            <w:r>
              <w:rPr/>
              <w:t> </w:t>
            </w:r>
          </w:p>
        </w:tc>
        <w:tc>
          <w:tcPr>
            <w:tcW w:w="480" w:type="dxa"/>
            <w:tcBorders/>
            <w:vAlign w:val="center"/>
          </w:tcPr>
          <w:p>
            <w:pPr>
              <w:pStyle w:val="TableContents"/>
              <w:bidi w:val="0"/>
              <w:spacing w:before="0" w:after="283"/>
              <w:jc w:val="right"/>
              <w:rPr/>
            </w:pPr>
            <w:r>
              <w:rPr/>
              <w:t>—</w:t>
            </w:r>
          </w:p>
        </w:tc>
        <w:tc>
          <w:tcPr>
            <w:tcW w:w="85" w:type="dxa"/>
            <w:tcBorders/>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jc w:val="right"/>
              <w:rPr/>
            </w:pPr>
            <w:r>
              <w:rPr/>
              <w:t> </w:t>
            </w:r>
          </w:p>
        </w:tc>
        <w:tc>
          <w:tcPr>
            <w:tcW w:w="224"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142" w:type="dxa"/>
            <w:tcBorders/>
            <w:vAlign w:val="center"/>
          </w:tcPr>
          <w:p>
            <w:pPr>
              <w:pStyle w:val="TableContents"/>
              <w:bidi w:val="0"/>
              <w:spacing w:before="0" w:after="283"/>
              <w:ind w:left="0" w:right="0" w:hanging="180"/>
              <w:jc w:val="left"/>
              <w:rPr/>
            </w:pPr>
            <w:r>
              <w:rPr/>
              <w:t> </w:t>
            </w:r>
            <w:bookmarkStart w:id="136" w:name="xdx_407_eus-gaap--NetIncomeLoss_zp1TNrXx"/>
            <w:bookmarkEnd w:id="136"/>
          </w:p>
        </w:tc>
      </w:tr>
      <w:tr>
        <w:trPr/>
        <w:tc>
          <w:tcPr>
            <w:tcW w:w="33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for the three months ended June 30, 2025</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4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3,233</w:t>
            </w:r>
          </w:p>
        </w:tc>
        <w:tc>
          <w:tcPr>
            <w:tcW w:w="142" w:type="dxa"/>
            <w:tcBorders/>
            <w:shd w:fill="CCEEFF" w:val="clear"/>
            <w:vAlign w:val="center"/>
          </w:tcPr>
          <w:p>
            <w:pPr>
              <w:pStyle w:val="TableContents"/>
              <w:bidi w:val="0"/>
              <w:spacing w:before="0" w:after="283"/>
              <w:ind w:left="0" w:right="0" w:hanging="180"/>
              <w:jc w:val="left"/>
              <w:rPr/>
            </w:pPr>
            <w:r>
              <w:rPr/>
              <w:t> </w:t>
            </w:r>
            <w:bookmarkStart w:id="137" w:name="xdx_435_c20250401__20250630_eus-gaap--St"/>
            <w:bookmarkEnd w:id="137"/>
          </w:p>
        </w:tc>
      </w:tr>
      <w:tr>
        <w:trPr/>
        <w:tc>
          <w:tcPr>
            <w:tcW w:w="33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on June 30, 2025</w:t>
            </w:r>
          </w:p>
        </w:tc>
        <w:tc>
          <w:tcPr>
            <w:tcW w:w="60" w:type="dxa"/>
            <w:tcBorders/>
            <w:vAlign w:val="center"/>
          </w:tcPr>
          <w:p>
            <w:pPr>
              <w:pStyle w:val="TableContents"/>
              <w:bidi w:val="0"/>
              <w:spacing w:before="0" w:after="283"/>
              <w:jc w:val="left"/>
              <w:rPr/>
            </w:pPr>
            <w:r>
              <w:rPr/>
              <w:t> </w:t>
            </w:r>
          </w:p>
        </w:tc>
        <w:tc>
          <w:tcPr>
            <w:tcW w:w="110" w:type="dxa"/>
            <w:tcBorders>
              <w:bottom w:val="double" w:sz="6" w:space="0" w:color="000000"/>
            </w:tcBorders>
            <w:tcMar>
              <w:bottom w:w="28" w:type="dxa"/>
            </w:tcMar>
            <w:vAlign w:val="center"/>
          </w:tcPr>
          <w:p>
            <w:pPr>
              <w:pStyle w:val="TableContents"/>
              <w:bidi w:val="0"/>
              <w:spacing w:before="0" w:after="283"/>
              <w:jc w:val="right"/>
              <w:rPr/>
            </w:pPr>
            <w:r>
              <w:rPr/>
              <w:t> </w:t>
            </w:r>
            <w:bookmarkStart w:id="138" w:name="xdx_986_eus-gaap--SharesOutstanding_iE_p"/>
            <w:bookmarkEnd w:id="138"/>
          </w:p>
        </w:tc>
        <w:tc>
          <w:tcPr>
            <w:tcW w:w="480" w:type="dxa"/>
            <w:tcBorders>
              <w:bottom w:val="double" w:sz="6" w:space="0" w:color="000000"/>
            </w:tcBorders>
            <w:tcMar>
              <w:bottom w:w="28" w:type="dxa"/>
            </w:tcMar>
            <w:vAlign w:val="center"/>
          </w:tcPr>
          <w:p>
            <w:pPr>
              <w:pStyle w:val="TableContents"/>
              <w:bidi w:val="0"/>
              <w:spacing w:before="0" w:after="283"/>
              <w:jc w:val="right"/>
              <w:rPr/>
            </w:pPr>
            <w:r>
              <w:rPr/>
              <w:t>—</w:t>
            </w:r>
          </w:p>
        </w:tc>
        <w:tc>
          <w:tcPr>
            <w:tcW w:w="85" w:type="dxa"/>
            <w:tcBorders/>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jc w:val="right"/>
              <w:rPr/>
            </w:pPr>
            <w:r>
              <w:rPr/>
              <w:t> </w:t>
            </w:r>
          </w:p>
        </w:tc>
        <w:tc>
          <w:tcPr>
            <w:tcW w:w="224"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1" w:type="dxa"/>
            <w:tcBorders>
              <w:bottom w:val="double" w:sz="6"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bottom w:val="double" w:sz="6" w:space="0" w:color="000000"/>
            </w:tcBorders>
            <w:tcMar>
              <w:bottom w:w="28" w:type="dxa"/>
            </w:tcMar>
            <w:vAlign w:val="center"/>
          </w:tcPr>
          <w:p>
            <w:pPr>
              <w:pStyle w:val="TableContents"/>
              <w:bidi w:val="0"/>
              <w:spacing w:before="0" w:after="283"/>
              <w:jc w:val="right"/>
              <w:rPr/>
            </w:pPr>
            <w:r>
              <w:rPr/>
              <w:t> </w:t>
            </w:r>
            <w:bookmarkStart w:id="139" w:name="xdx_987_eus-gaap--SharesOutstanding_iE_p"/>
            <w:bookmarkEnd w:id="139"/>
          </w:p>
        </w:tc>
        <w:tc>
          <w:tcPr>
            <w:tcW w:w="95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70,481,945</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88"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704</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44"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115,165</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60"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(102,186</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2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14,424</w:t>
            </w:r>
          </w:p>
        </w:tc>
        <w:tc>
          <w:tcPr>
            <w:tcW w:w="142" w:type="dxa"/>
            <w:tcBorders/>
            <w:vAlign w:val="center"/>
          </w:tcPr>
          <w:p>
            <w:pPr>
              <w:pStyle w:val="TableContents"/>
              <w:bidi w:val="0"/>
              <w:spacing w:before="0" w:after="283"/>
              <w:ind w:left="0" w:right="0" w:hanging="180"/>
              <w:jc w:val="left"/>
              <w:rPr/>
            </w:pPr>
            <w:r>
              <w:rPr/>
              <w:t> </w:t>
            </w:r>
          </w:p>
        </w:tc>
      </w:tr>
      <w:tr>
        <w:trPr/>
        <w:tc>
          <w:tcPr>
            <w:tcW w:w="33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right"/>
              <w:rPr/>
            </w:pPr>
            <w:r>
              <w:rPr/>
              <w:t> </w:t>
            </w:r>
          </w:p>
        </w:tc>
        <w:tc>
          <w:tcPr>
            <w:tcW w:w="48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224"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ind w:left="0" w:right="0" w:hanging="180"/>
              <w:jc w:val="left"/>
              <w:rPr/>
            </w:pPr>
            <w:r>
              <w:rPr/>
              <w:t> </w:t>
            </w:r>
            <w:bookmarkStart w:id="140" w:name="xdx_43C_c20260101__20260331_eus-gaap--St"/>
            <w:bookmarkEnd w:id="140"/>
          </w:p>
        </w:tc>
      </w:tr>
      <w:tr>
        <w:trPr/>
        <w:tc>
          <w:tcPr>
            <w:tcW w:w="33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on December 31, 2025</w:t>
            </w:r>
          </w:p>
        </w:tc>
        <w:tc>
          <w:tcPr>
            <w:tcW w:w="60" w:type="dxa"/>
            <w:tcBorders/>
            <w:vAlign w:val="center"/>
          </w:tcPr>
          <w:p>
            <w:pPr>
              <w:pStyle w:val="TableContents"/>
              <w:bidi w:val="0"/>
              <w:spacing w:before="0" w:after="283"/>
              <w:jc w:val="left"/>
              <w:rPr/>
            </w:pPr>
            <w:r>
              <w:rPr/>
              <w:t> </w:t>
            </w:r>
          </w:p>
        </w:tc>
        <w:tc>
          <w:tcPr>
            <w:tcW w:w="110" w:type="dxa"/>
            <w:tcBorders>
              <w:bottom w:val="single" w:sz="8" w:space="0" w:color="000000"/>
            </w:tcBorders>
            <w:tcMar>
              <w:bottom w:w="28" w:type="dxa"/>
            </w:tcMar>
            <w:vAlign w:val="center"/>
          </w:tcPr>
          <w:p>
            <w:pPr>
              <w:pStyle w:val="TableContents"/>
              <w:bidi w:val="0"/>
              <w:spacing w:before="0" w:after="283"/>
              <w:jc w:val="right"/>
              <w:rPr/>
            </w:pPr>
            <w:r>
              <w:rPr/>
              <w:t> </w:t>
            </w:r>
            <w:bookmarkStart w:id="141" w:name="xdx_980_eus-gaap--SharesOutstanding_iS_p"/>
            <w:bookmarkEnd w:id="141"/>
          </w:p>
        </w:tc>
        <w:tc>
          <w:tcPr>
            <w:tcW w:w="480" w:type="dxa"/>
            <w:tcBorders>
              <w:bottom w:val="single" w:sz="8" w:space="0" w:color="000000"/>
            </w:tcBorders>
            <w:tcMar>
              <w:bottom w:w="28" w:type="dxa"/>
            </w:tcMar>
            <w:vAlign w:val="center"/>
          </w:tcPr>
          <w:p>
            <w:pPr>
              <w:pStyle w:val="TableContents"/>
              <w:bidi w:val="0"/>
              <w:spacing w:before="0" w:after="283"/>
              <w:jc w:val="right"/>
              <w:rPr/>
            </w:pPr>
            <w:r>
              <w:rPr/>
              <w:t>—</w:t>
            </w:r>
          </w:p>
        </w:tc>
        <w:tc>
          <w:tcPr>
            <w:tcW w:w="85" w:type="dxa"/>
            <w:tcBorders/>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jc w:val="right"/>
              <w:rPr/>
            </w:pPr>
            <w:r>
              <w:rPr/>
              <w:t> </w:t>
            </w:r>
          </w:p>
        </w:tc>
        <w:tc>
          <w:tcPr>
            <w:tcW w:w="22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1"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right"/>
              <w:rPr/>
            </w:pPr>
            <w:r>
              <w:rPr/>
              <w:t> </w:t>
            </w:r>
            <w:bookmarkStart w:id="142" w:name="xdx_986_eus-gaap--SharesOutstanding_iS_p"/>
            <w:bookmarkEnd w:id="142"/>
          </w:p>
        </w:tc>
        <w:tc>
          <w:tcPr>
            <w:tcW w:w="95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70,614,045</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8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07"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6"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115,566</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(102,186</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14,086</w:t>
            </w:r>
          </w:p>
        </w:tc>
        <w:tc>
          <w:tcPr>
            <w:tcW w:w="142" w:type="dxa"/>
            <w:tcBorders/>
            <w:vAlign w:val="center"/>
          </w:tcPr>
          <w:p>
            <w:pPr>
              <w:pStyle w:val="TableContents"/>
              <w:bidi w:val="0"/>
              <w:spacing w:before="0" w:after="283"/>
              <w:ind w:left="0" w:right="0" w:hanging="180"/>
              <w:jc w:val="left"/>
              <w:rPr/>
            </w:pPr>
            <w:r>
              <w:rPr/>
              <w:t> </w:t>
            </w:r>
            <w:bookmarkStart w:id="143" w:name="xdx_403_eus-gaap--StockIssuedDuringPerio"/>
            <w:bookmarkEnd w:id="143"/>
          </w:p>
        </w:tc>
      </w:tr>
      <w:tr>
        <w:trPr/>
        <w:tc>
          <w:tcPr>
            <w:tcW w:w="33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shares and stock option exercises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right"/>
              <w:rPr/>
            </w:pPr>
            <w:r>
              <w:rPr/>
              <w:t> </w:t>
            </w:r>
          </w:p>
        </w:tc>
        <w:tc>
          <w:tcPr>
            <w:tcW w:w="480"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224"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bookmarkStart w:id="144" w:name="xdx_980_eus-gaap--StockIssuedDuringPerio"/>
            <w:bookmarkEnd w:id="144"/>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18,400</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142" w:type="dxa"/>
            <w:tcBorders/>
            <w:shd w:fill="CCEEFF" w:val="clear"/>
            <w:vAlign w:val="center"/>
          </w:tcPr>
          <w:p>
            <w:pPr>
              <w:pStyle w:val="TableContents"/>
              <w:bidi w:val="0"/>
              <w:spacing w:before="0" w:after="283"/>
              <w:ind w:left="0" w:right="0" w:hanging="180"/>
              <w:jc w:val="left"/>
              <w:rPr/>
            </w:pPr>
            <w:r>
              <w:rPr/>
              <w:t> </w:t>
            </w:r>
            <w:bookmarkStart w:id="145" w:name="xdx_40C_eus-gaap--AdjustmentsToAdditiona"/>
            <w:bookmarkEnd w:id="145"/>
          </w:p>
        </w:tc>
      </w:tr>
      <w:tr>
        <w:trPr/>
        <w:tc>
          <w:tcPr>
            <w:tcW w:w="33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right"/>
              <w:rPr/>
            </w:pPr>
            <w:r>
              <w:rPr/>
              <w:t> </w:t>
            </w:r>
          </w:p>
        </w:tc>
        <w:tc>
          <w:tcPr>
            <w:tcW w:w="480" w:type="dxa"/>
            <w:tcBorders/>
            <w:vAlign w:val="center"/>
          </w:tcPr>
          <w:p>
            <w:pPr>
              <w:pStyle w:val="TableContents"/>
              <w:bidi w:val="0"/>
              <w:spacing w:before="0" w:after="283"/>
              <w:jc w:val="right"/>
              <w:rPr/>
            </w:pPr>
            <w:r>
              <w:rPr/>
              <w:t>—</w:t>
            </w:r>
          </w:p>
        </w:tc>
        <w:tc>
          <w:tcPr>
            <w:tcW w:w="85" w:type="dxa"/>
            <w:tcBorders/>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jc w:val="right"/>
              <w:rPr/>
            </w:pPr>
            <w:r>
              <w:rPr/>
              <w:t> </w:t>
            </w:r>
          </w:p>
        </w:tc>
        <w:tc>
          <w:tcPr>
            <w:tcW w:w="224"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95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c>
          <w:tcPr>
            <w:tcW w:w="142" w:type="dxa"/>
            <w:tcBorders/>
            <w:vAlign w:val="center"/>
          </w:tcPr>
          <w:p>
            <w:pPr>
              <w:pStyle w:val="TableContents"/>
              <w:bidi w:val="0"/>
              <w:spacing w:before="0" w:after="283"/>
              <w:ind w:left="0" w:right="0" w:hanging="180"/>
              <w:jc w:val="left"/>
              <w:rPr/>
            </w:pPr>
            <w:r>
              <w:rPr/>
              <w:t> </w:t>
            </w:r>
            <w:bookmarkStart w:id="146" w:name="xdx_407_eus-gaap--NetIncomeLoss_zU7rOZue"/>
            <w:bookmarkEnd w:id="146"/>
          </w:p>
        </w:tc>
      </w:tr>
      <w:tr>
        <w:trPr/>
        <w:tc>
          <w:tcPr>
            <w:tcW w:w="33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for the three months ended March 31, 2026</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4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(962</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(962</w:t>
            </w:r>
          </w:p>
        </w:tc>
        <w:tc>
          <w:tcPr>
            <w:tcW w:w="14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bookmarkStart w:id="147" w:name="xdx_43D_c20260401__20260630_eus-gaap--St"/>
            <w:bookmarkEnd w:id="147"/>
          </w:p>
        </w:tc>
      </w:tr>
      <w:tr>
        <w:trPr/>
        <w:tc>
          <w:tcPr>
            <w:tcW w:w="33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on March 31, 2026</w:t>
            </w:r>
          </w:p>
        </w:tc>
        <w:tc>
          <w:tcPr>
            <w:tcW w:w="60" w:type="dxa"/>
            <w:tcBorders/>
            <w:vAlign w:val="center"/>
          </w:tcPr>
          <w:p>
            <w:pPr>
              <w:pStyle w:val="TableContents"/>
              <w:bidi w:val="0"/>
              <w:spacing w:before="0" w:after="283"/>
              <w:jc w:val="left"/>
              <w:rPr/>
            </w:pPr>
            <w:r>
              <w:rPr/>
              <w:t> </w:t>
            </w:r>
          </w:p>
        </w:tc>
        <w:tc>
          <w:tcPr>
            <w:tcW w:w="110" w:type="dxa"/>
            <w:tcBorders>
              <w:bottom w:val="single" w:sz="8" w:space="0" w:color="000000"/>
            </w:tcBorders>
            <w:tcMar>
              <w:bottom w:w="28" w:type="dxa"/>
            </w:tcMar>
            <w:vAlign w:val="center"/>
          </w:tcPr>
          <w:p>
            <w:pPr>
              <w:pStyle w:val="TableContents"/>
              <w:bidi w:val="0"/>
              <w:spacing w:before="0" w:after="283"/>
              <w:jc w:val="right"/>
              <w:rPr/>
            </w:pPr>
            <w:r>
              <w:rPr/>
              <w:t> </w:t>
            </w:r>
            <w:bookmarkStart w:id="148" w:name="xdx_98F_eus-gaap--SharesOutstanding_iS_p"/>
            <w:bookmarkEnd w:id="148"/>
          </w:p>
        </w:tc>
        <w:tc>
          <w:tcPr>
            <w:tcW w:w="480" w:type="dxa"/>
            <w:tcBorders>
              <w:bottom w:val="single" w:sz="8" w:space="0" w:color="000000"/>
            </w:tcBorders>
            <w:tcMar>
              <w:bottom w:w="28" w:type="dxa"/>
            </w:tcMar>
            <w:vAlign w:val="center"/>
          </w:tcPr>
          <w:p>
            <w:pPr>
              <w:pStyle w:val="TableContents"/>
              <w:bidi w:val="0"/>
              <w:spacing w:before="0" w:after="283"/>
              <w:jc w:val="right"/>
              <w:rPr/>
            </w:pPr>
            <w:r>
              <w:rPr/>
              <w:t>—</w:t>
            </w:r>
          </w:p>
        </w:tc>
        <w:tc>
          <w:tcPr>
            <w:tcW w:w="85" w:type="dxa"/>
            <w:tcBorders>
              <w:bottom w:val="single" w:sz="8" w:space="0" w:color="000000"/>
            </w:tcBorders>
            <w:tcMar>
              <w:bottom w:w="28" w:type="dxa"/>
            </w:tcMar>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jc w:val="right"/>
              <w:rPr/>
            </w:pPr>
            <w:r>
              <w:rPr/>
              <w:t> </w:t>
            </w:r>
          </w:p>
        </w:tc>
        <w:tc>
          <w:tcPr>
            <w:tcW w:w="22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1"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right"/>
              <w:rPr/>
            </w:pPr>
            <w:r>
              <w:rPr/>
              <w:t> </w:t>
            </w:r>
            <w:bookmarkStart w:id="149" w:name="xdx_98C_eus-gaap--SharesOutstanding_iS_p"/>
            <w:bookmarkEnd w:id="149"/>
          </w:p>
        </w:tc>
        <w:tc>
          <w:tcPr>
            <w:tcW w:w="95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70,632,445</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88" w:type="dxa"/>
            <w:tcBorders>
              <w:bottom w:val="single" w:sz="8" w:space="0" w:color="000000"/>
            </w:tcBorders>
            <w:tcMar>
              <w:bottom w:w="28" w:type="dxa"/>
            </w:tcMar>
            <w:vAlign w:val="center"/>
          </w:tcPr>
          <w:p>
            <w:pPr>
              <w:pStyle w:val="TableContents"/>
              <w:bidi w:val="0"/>
              <w:spacing w:before="0" w:after="283"/>
              <w:jc w:val="left"/>
              <w:rPr/>
            </w:pPr>
            <w:r>
              <w:rPr/>
              <w:t> </w:t>
            </w:r>
          </w:p>
        </w:tc>
        <w:tc>
          <w:tcPr>
            <w:tcW w:w="507"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806"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115,665</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60" w:type="dxa"/>
            <w:tcBorders>
              <w:bottom w:val="single" w:sz="8" w:space="0" w:color="000000"/>
            </w:tcBorders>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(103,148</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bookmarkStart w:id="150" w:name="xdx_984_eus-gaap--StockholdersEquity_iS_"/>
            <w:bookmarkEnd w:id="150"/>
          </w:p>
        </w:tc>
        <w:tc>
          <w:tcPr>
            <w:tcW w:w="59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13,223</w:t>
            </w:r>
          </w:p>
        </w:tc>
        <w:tc>
          <w:tcPr>
            <w:tcW w:w="142" w:type="dxa"/>
            <w:tcBorders/>
            <w:vAlign w:val="center"/>
          </w:tcPr>
          <w:p>
            <w:pPr>
              <w:pStyle w:val="TableContents"/>
              <w:bidi w:val="0"/>
              <w:spacing w:before="0" w:after="283"/>
              <w:ind w:left="0" w:right="0" w:hanging="180"/>
              <w:jc w:val="left"/>
              <w:rPr/>
            </w:pPr>
            <w:r>
              <w:rPr/>
              <w:t> </w:t>
            </w:r>
          </w:p>
        </w:tc>
      </w:tr>
      <w:tr>
        <w:trPr/>
        <w:tc>
          <w:tcPr>
            <w:tcW w:w="33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right"/>
              <w:rPr/>
            </w:pPr>
            <w:r>
              <w:rPr/>
              <w:t> </w:t>
            </w:r>
          </w:p>
        </w:tc>
        <w:tc>
          <w:tcPr>
            <w:tcW w:w="48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224"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ind w:left="0" w:right="0" w:hanging="180"/>
              <w:jc w:val="left"/>
              <w:rPr/>
            </w:pPr>
            <w:r>
              <w:rPr/>
              <w:t> </w:t>
            </w:r>
            <w:bookmarkStart w:id="151" w:name="xdx_403_eus-gaap--StockIssuedDuringPerio"/>
            <w:bookmarkEnd w:id="151"/>
          </w:p>
        </w:tc>
      </w:tr>
      <w:tr>
        <w:trPr/>
        <w:tc>
          <w:tcPr>
            <w:tcW w:w="33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shares and stock option exercises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right"/>
              <w:rPr/>
            </w:pPr>
            <w:r>
              <w:rPr/>
              <w:t> </w:t>
            </w:r>
          </w:p>
        </w:tc>
        <w:tc>
          <w:tcPr>
            <w:tcW w:w="480" w:type="dxa"/>
            <w:tcBorders/>
            <w:vAlign w:val="center"/>
          </w:tcPr>
          <w:p>
            <w:pPr>
              <w:pStyle w:val="TableContents"/>
              <w:bidi w:val="0"/>
              <w:spacing w:before="0" w:after="283"/>
              <w:jc w:val="right"/>
              <w:rPr/>
            </w:pPr>
            <w:r>
              <w:rPr/>
              <w:t>—</w:t>
            </w:r>
          </w:p>
        </w:tc>
        <w:tc>
          <w:tcPr>
            <w:tcW w:w="85" w:type="dxa"/>
            <w:tcBorders/>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jc w:val="right"/>
              <w:rPr/>
            </w:pPr>
            <w:r>
              <w:rPr/>
              <w:t> </w:t>
            </w:r>
          </w:p>
        </w:tc>
        <w:tc>
          <w:tcPr>
            <w:tcW w:w="224"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bookmarkStart w:id="152" w:name="xdx_988_eus-gaap--StockIssuedDuringPerio"/>
            <w:bookmarkEnd w:id="152"/>
          </w:p>
        </w:tc>
        <w:tc>
          <w:tcPr>
            <w:tcW w:w="9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14,600</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142" w:type="dxa"/>
            <w:tcBorders/>
            <w:vAlign w:val="center"/>
          </w:tcPr>
          <w:p>
            <w:pPr>
              <w:pStyle w:val="TableContents"/>
              <w:bidi w:val="0"/>
              <w:spacing w:before="0" w:after="283"/>
              <w:ind w:left="0" w:right="0" w:hanging="180"/>
              <w:jc w:val="left"/>
              <w:rPr/>
            </w:pPr>
            <w:r>
              <w:rPr/>
              <w:t> </w:t>
            </w:r>
            <w:bookmarkStart w:id="153" w:name="xdx_40C_eus-gaap--AdjustmentsToAdditiona"/>
            <w:bookmarkEnd w:id="153"/>
          </w:p>
        </w:tc>
      </w:tr>
      <w:tr>
        <w:trPr/>
        <w:tc>
          <w:tcPr>
            <w:tcW w:w="33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right"/>
              <w:rPr/>
            </w:pPr>
            <w:r>
              <w:rPr/>
              <w:t> </w:t>
            </w:r>
          </w:p>
        </w:tc>
        <w:tc>
          <w:tcPr>
            <w:tcW w:w="480"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224"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c>
          <w:tcPr>
            <w:tcW w:w="142" w:type="dxa"/>
            <w:tcBorders/>
            <w:shd w:fill="CCEEFF" w:val="clear"/>
            <w:vAlign w:val="center"/>
          </w:tcPr>
          <w:p>
            <w:pPr>
              <w:pStyle w:val="TableContents"/>
              <w:bidi w:val="0"/>
              <w:spacing w:before="0" w:after="283"/>
              <w:ind w:left="0" w:right="0" w:hanging="180"/>
              <w:jc w:val="left"/>
              <w:rPr/>
            </w:pPr>
            <w:r>
              <w:rPr/>
              <w:t> </w:t>
            </w:r>
            <w:bookmarkStart w:id="154" w:name="xdx_407_eus-gaap--NetIncomeLoss_zgLyj1TL"/>
            <w:bookmarkEnd w:id="154"/>
          </w:p>
        </w:tc>
      </w:tr>
      <w:tr>
        <w:trPr/>
        <w:tc>
          <w:tcPr>
            <w:tcW w:w="33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for the three months ended June 30, 2026</w:t>
            </w:r>
          </w:p>
        </w:tc>
        <w:tc>
          <w:tcPr>
            <w:tcW w:w="60" w:type="dxa"/>
            <w:tcBorders/>
            <w:vAlign w:val="center"/>
          </w:tcPr>
          <w:p>
            <w:pPr>
              <w:pStyle w:val="TableContents"/>
              <w:bidi w:val="0"/>
              <w:spacing w:before="0" w:after="283"/>
              <w:jc w:val="left"/>
              <w:rPr/>
            </w:pPr>
            <w:r>
              <w:rPr/>
              <w:t> </w:t>
            </w:r>
          </w:p>
        </w:tc>
        <w:tc>
          <w:tcPr>
            <w:tcW w:w="110" w:type="dxa"/>
            <w:tcBorders>
              <w:bottom w:val="single" w:sz="8" w:space="0" w:color="000000"/>
            </w:tcBorders>
            <w:tcMar>
              <w:bottom w:w="28" w:type="dxa"/>
            </w:tcMar>
            <w:vAlign w:val="center"/>
          </w:tcPr>
          <w:p>
            <w:pPr>
              <w:pStyle w:val="TableContents"/>
              <w:bidi w:val="0"/>
              <w:spacing w:before="0" w:after="283"/>
              <w:jc w:val="right"/>
              <w:rPr/>
            </w:pPr>
            <w:r>
              <w:rPr/>
              <w:t> </w:t>
            </w:r>
          </w:p>
        </w:tc>
        <w:tc>
          <w:tcPr>
            <w:tcW w:w="480" w:type="dxa"/>
            <w:tcBorders>
              <w:bottom w:val="single" w:sz="8" w:space="0" w:color="000000"/>
            </w:tcBorders>
            <w:tcMar>
              <w:bottom w:w="28" w:type="dxa"/>
            </w:tcMar>
            <w:vAlign w:val="center"/>
          </w:tcPr>
          <w:p>
            <w:pPr>
              <w:pStyle w:val="TableContents"/>
              <w:bidi w:val="0"/>
              <w:spacing w:before="0" w:after="283"/>
              <w:jc w:val="right"/>
              <w:rPr/>
            </w:pPr>
            <w:r>
              <w:rPr/>
              <w:t>—</w:t>
            </w:r>
          </w:p>
        </w:tc>
        <w:tc>
          <w:tcPr>
            <w:tcW w:w="85" w:type="dxa"/>
            <w:tcBorders/>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jc w:val="right"/>
              <w:rPr/>
            </w:pPr>
            <w:r>
              <w:rPr/>
              <w:t> </w:t>
            </w:r>
          </w:p>
        </w:tc>
        <w:tc>
          <w:tcPr>
            <w:tcW w:w="224" w:type="dxa"/>
            <w:tcBorders>
              <w:bottom w:val="single" w:sz="8" w:space="0" w:color="000000"/>
            </w:tcBorders>
            <w:tcMar>
              <w:bottom w:w="28" w:type="dxa"/>
            </w:tcMar>
            <w:vAlign w:val="center"/>
          </w:tcPr>
          <w:p>
            <w:pPr>
              <w:pStyle w:val="TableContents"/>
              <w:bidi w:val="0"/>
              <w:spacing w:before="0" w:after="283"/>
              <w:jc w:val="left"/>
              <w:rPr/>
            </w:pPr>
            <w:r>
              <w:rPr/>
              <w:t> </w:t>
            </w:r>
          </w:p>
        </w:tc>
        <w:tc>
          <w:tcPr>
            <w:tcW w:w="471"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righ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88" w:type="dxa"/>
            <w:tcBorders>
              <w:bottom w:val="single" w:sz="8" w:space="0" w:color="000000"/>
            </w:tcBorders>
            <w:tcMar>
              <w:bottom w:w="28" w:type="dxa"/>
            </w:tcMar>
            <w:vAlign w:val="center"/>
          </w:tcPr>
          <w:p>
            <w:pPr>
              <w:pStyle w:val="TableContents"/>
              <w:bidi w:val="0"/>
              <w:spacing w:before="0" w:after="283"/>
              <w:jc w:val="left"/>
              <w:rPr/>
            </w:pPr>
            <w:r>
              <w:rPr/>
              <w:t> </w:t>
            </w:r>
          </w:p>
        </w:tc>
        <w:tc>
          <w:tcPr>
            <w:tcW w:w="507"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806"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60" w:type="dxa"/>
            <w:tcBorders>
              <w:bottom w:val="single" w:sz="8" w:space="0" w:color="000000"/>
            </w:tcBorders>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bookmarkStart w:id="155" w:name="xdx_989_eus-gaap--NetIncomeLoss_c2026040"/>
            <w:bookmarkEnd w:id="155"/>
          </w:p>
        </w:tc>
        <w:tc>
          <w:tcPr>
            <w:tcW w:w="59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p>
        </w:tc>
        <w:tc>
          <w:tcPr>
            <w:tcW w:w="142" w:type="dxa"/>
            <w:tcBorders/>
            <w:vAlign w:val="center"/>
          </w:tcPr>
          <w:p>
            <w:pPr>
              <w:pStyle w:val="TableContents"/>
              <w:bidi w:val="0"/>
              <w:spacing w:before="0" w:after="283"/>
              <w:ind w:left="0" w:right="0" w:hanging="180"/>
              <w:jc w:val="left"/>
              <w:rPr/>
            </w:pPr>
            <w:r>
              <w:rPr/>
              <w:t>) </w:t>
            </w:r>
            <w:bookmarkStart w:id="156" w:name="xdx_439_c20260401__20260630_eus-gaap--St"/>
            <w:bookmarkEnd w:id="156"/>
          </w:p>
        </w:tc>
      </w:tr>
      <w:tr>
        <w:trPr/>
        <w:tc>
          <w:tcPr>
            <w:tcW w:w="33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on June 30, 2026</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bookmarkStart w:id="157" w:name="xdx_98A_eus-gaap--SharesOutstanding_iE_p"/>
            <w:bookmarkEnd w:id="157"/>
          </w:p>
        </w:tc>
        <w:tc>
          <w:tcPr>
            <w:tcW w:w="4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bookmarkStart w:id="158" w:name="xdx_98E_eus-gaap--SharesOutstanding_iE_p"/>
            <w:bookmarkEnd w:id="158"/>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70,647,045</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115,754</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(103,306</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9" w:name="xdx_980_eus-gaap--StockholdersEquity_iE_"/>
            <w:bookmarkEnd w:id="159"/>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13,154</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33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SOLÉSENCE,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0" w:name="sol10qa006"/>
      <w:bookmarkEnd w:id="160"/>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Condensed)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Reviewed)</w:t>
      </w:r>
    </w:p>
    <w:p>
      <w:pPr>
        <w:pStyle w:val="Normal"/>
        <w:bidi w:val="0"/>
        <w:spacing w:before="0" w:after="0"/>
        <w:ind w:left="0" w:right="0" w:hanging="0"/>
        <w:jc w:val="left"/>
        <w:rPr>
          <w:sz w:val="4"/>
          <w:szCs w:val="4"/>
        </w:rPr>
      </w:pPr>
      <w:r>
        <w:rPr>
          <w:sz w:val="4"/>
          <w:szCs w:val="4"/>
        </w:rPr>
      </w:r>
      <w:bookmarkStart w:id="161" w:name="xdx_304_122_pn3n3_zYo4IE52W2K4"/>
      <w:bookmarkStart w:id="162" w:name="xdx_304_122_pn3n3_zYo4IE52W2K4"/>
      <w:bookmarkEnd w:id="162"/>
    </w:p>
    <w:tbl>
      <w:tblPr>
        <w:tblW w:w="10205" w:type="dxa"/>
        <w:jc w:val="left"/>
        <w:tblInd w:w="0" w:type="dxa"/>
        <w:tblLayout w:type="fixed"/>
        <w:tblCellMar>
          <w:top w:w="0" w:type="dxa"/>
          <w:left w:w="0" w:type="dxa"/>
          <w:bottom w:w="0" w:type="dxa"/>
          <w:right w:w="0" w:type="dxa"/>
        </w:tblCellMar>
      </w:tblPr>
      <w:tblGrid>
        <w:gridCol w:w="7357"/>
        <w:gridCol w:w="60"/>
        <w:gridCol w:w="202"/>
        <w:gridCol w:w="918"/>
        <w:gridCol w:w="224"/>
        <w:gridCol w:w="86"/>
        <w:gridCol w:w="202"/>
        <w:gridCol w:w="984"/>
        <w:gridCol w:w="172"/>
      </w:tblGrid>
      <w:tr>
        <w:trPr/>
        <w:tc>
          <w:tcPr>
            <w:tcW w:w="73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63" w:name="xdx_498_20260101__20260630_zthDWIGKlAne"/>
            <w:bookmarkEnd w:id="163"/>
          </w:p>
        </w:tc>
        <w:tc>
          <w:tcPr>
            <w:tcW w:w="1120" w:type="dxa"/>
            <w:gridSpan w:val="2"/>
            <w:tcBorders/>
            <w:vAlign w:val="center"/>
          </w:tcPr>
          <w:p>
            <w:pPr>
              <w:pStyle w:val="TableContents"/>
              <w:bidi w:val="0"/>
              <w:spacing w:before="0" w:after="283"/>
              <w:jc w:val="center"/>
              <w:rPr/>
            </w:pPr>
            <w:r>
              <w:rPr/>
              <w:t> </w:t>
            </w:r>
          </w:p>
        </w:tc>
        <w:tc>
          <w:tcPr>
            <w:tcW w:w="224"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bookmarkStart w:id="164" w:name="xdx_499_20250101__20250630_zlcV6p1IxMRh"/>
            <w:bookmarkEnd w:id="164"/>
          </w:p>
        </w:tc>
        <w:tc>
          <w:tcPr>
            <w:tcW w:w="1186"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r>
      <w:tr>
        <w:trPr/>
        <w:tc>
          <w:tcPr>
            <w:tcW w:w="73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72" w:type="dxa"/>
            <w:tcBorders/>
            <w:vAlign w:val="center"/>
          </w:tcPr>
          <w:p>
            <w:pPr>
              <w:pStyle w:val="TableContents"/>
              <w:bidi w:val="0"/>
              <w:spacing w:before="0" w:after="283"/>
              <w:jc w:val="left"/>
              <w:rPr/>
            </w:pPr>
            <w:r>
              <w:rPr/>
              <w:t> </w:t>
            </w:r>
          </w:p>
        </w:tc>
      </w:tr>
      <w:tr>
        <w:trPr/>
        <w:tc>
          <w:tcPr>
            <w:tcW w:w="73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24"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2" w:type="dxa"/>
            <w:tcBorders/>
            <w:vAlign w:val="center"/>
          </w:tcPr>
          <w:p>
            <w:pPr>
              <w:pStyle w:val="TableContents"/>
              <w:bidi w:val="0"/>
              <w:spacing w:before="0" w:after="283"/>
              <w:jc w:val="left"/>
              <w:rPr/>
            </w:pPr>
            <w:r>
              <w:rPr/>
              <w:t> </w:t>
            </w:r>
          </w:p>
        </w:tc>
      </w:tr>
      <w:tr>
        <w:trPr/>
        <w:tc>
          <w:tcPr>
            <w:tcW w:w="73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16" w:type="dxa"/>
            <w:gridSpan w:val="6"/>
            <w:tcBorders/>
            <w:vAlign w:val="center"/>
          </w:tcPr>
          <w:p>
            <w:pPr>
              <w:pStyle w:val="TableContents"/>
              <w:bidi w:val="0"/>
              <w:spacing w:before="0" w:after="283"/>
              <w:jc w:val="center"/>
              <w:rPr>
                <w:b/>
              </w:rPr>
            </w:pPr>
            <w:r>
              <w:rPr>
                <w:b/>
              </w:rPr>
              <w:t>(in thousands)</w:t>
            </w:r>
          </w:p>
        </w:tc>
        <w:tc>
          <w:tcPr>
            <w:tcW w:w="172" w:type="dxa"/>
            <w:tcBorders/>
            <w:vAlign w:val="center"/>
          </w:tcPr>
          <w:p>
            <w:pPr>
              <w:pStyle w:val="TableContents"/>
              <w:bidi w:val="0"/>
              <w:spacing w:before="0" w:after="283"/>
              <w:jc w:val="left"/>
              <w:rPr/>
            </w:pPr>
            <w:r>
              <w:rPr/>
              <w:t> </w:t>
            </w:r>
            <w:bookmarkStart w:id="165" w:name="xdx_402_eus-gaap--NetCashProvidedByUsedI"/>
            <w:bookmarkEnd w:id="165"/>
          </w:p>
        </w:tc>
      </w:tr>
      <w:tr>
        <w:trPr/>
        <w:tc>
          <w:tcPr>
            <w:tcW w:w="7357" w:type="dxa"/>
            <w:tcBorders/>
            <w:vAlign w:val="center"/>
          </w:tcPr>
          <w:p>
            <w:pPr>
              <w:pStyle w:val="TableContents"/>
              <w:bidi w:val="0"/>
              <w:spacing w:before="0" w:after="283"/>
              <w:jc w:val="left"/>
              <w:rPr>
                <w:b/>
              </w:rPr>
            </w:pPr>
            <w:r>
              <w:rPr>
                <w:b/>
              </w:rPr>
              <w:t>Operating activities:</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 </w:t>
            </w:r>
          </w:p>
        </w:tc>
        <w:tc>
          <w:tcPr>
            <w:tcW w:w="224"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bookmarkStart w:id="166" w:name="xdx_403_eus-gaap--NetIncomeLoss_i01_maNC"/>
            <w:bookmarkEnd w:id="166"/>
          </w:p>
        </w:tc>
      </w:tr>
      <w:tr>
        <w:trPr/>
        <w:tc>
          <w:tcPr>
            <w:tcW w:w="7357"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18" w:type="dxa"/>
            <w:tcBorders/>
            <w:shd w:fill="CCEEFF" w:val="clear"/>
            <w:vAlign w:val="center"/>
          </w:tcPr>
          <w:p>
            <w:pPr>
              <w:pStyle w:val="TableContents"/>
              <w:bidi w:val="0"/>
              <w:spacing w:before="0" w:after="283"/>
              <w:jc w:val="right"/>
              <w:rPr/>
            </w:pPr>
            <w:r>
              <w:rPr/>
              <w:t>(1,120</w:t>
            </w:r>
          </w:p>
        </w:tc>
        <w:tc>
          <w:tcPr>
            <w:tcW w:w="22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283"/>
              <w:jc w:val="right"/>
              <w:rPr/>
            </w:pPr>
            <w:r>
              <w:rPr/>
              <w:t>3,577</w:t>
            </w:r>
          </w:p>
        </w:tc>
        <w:tc>
          <w:tcPr>
            <w:tcW w:w="172" w:type="dxa"/>
            <w:tcBorders/>
            <w:shd w:fill="CCEEFF" w:val="clear"/>
            <w:vAlign w:val="center"/>
          </w:tcPr>
          <w:p>
            <w:pPr>
              <w:pStyle w:val="TableContents"/>
              <w:bidi w:val="0"/>
              <w:spacing w:before="0" w:after="283"/>
              <w:jc w:val="left"/>
              <w:rPr/>
            </w:pPr>
            <w:r>
              <w:rPr/>
              <w:t> </w:t>
            </w:r>
            <w:bookmarkStart w:id="167" w:name="xdx_40D_eus-gaap--AdjustmentsToReconcile"/>
            <w:bookmarkEnd w:id="167"/>
          </w:p>
        </w:tc>
      </w:tr>
      <w:tr>
        <w:trPr/>
        <w:tc>
          <w:tcPr>
            <w:tcW w:w="7357" w:type="dxa"/>
            <w:tcBorders/>
            <w:shd w:fill="FFFFFF" w:val="clear"/>
            <w:vAlign w:val="center"/>
          </w:tcPr>
          <w:p>
            <w:pPr>
              <w:pStyle w:val="TableContents"/>
              <w:bidi w:val="0"/>
              <w:spacing w:before="0" w:after="283"/>
              <w:jc w:val="left"/>
              <w:rPr/>
            </w:pPr>
            <w:r>
              <w:rPr/>
              <w:t>Adjustments to reconcile net income (loss) to cash used in operating activities: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bookmarkStart w:id="168" w:name="xdx_407_eus-gaap--DepreciationDepletionA"/>
            <w:bookmarkEnd w:id="168"/>
          </w:p>
        </w:tc>
      </w:tr>
      <w:tr>
        <w:trPr/>
        <w:tc>
          <w:tcPr>
            <w:tcW w:w="7357"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636</w:t>
            </w:r>
          </w:p>
        </w:tc>
        <w:tc>
          <w:tcPr>
            <w:tcW w:w="22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451</w:t>
            </w:r>
          </w:p>
        </w:tc>
        <w:tc>
          <w:tcPr>
            <w:tcW w:w="172" w:type="dxa"/>
            <w:tcBorders/>
            <w:shd w:fill="CCEEFF" w:val="clear"/>
            <w:vAlign w:val="center"/>
          </w:tcPr>
          <w:p>
            <w:pPr>
              <w:pStyle w:val="TableContents"/>
              <w:bidi w:val="0"/>
              <w:spacing w:before="0" w:after="283"/>
              <w:jc w:val="left"/>
              <w:rPr/>
            </w:pPr>
            <w:r>
              <w:rPr/>
              <w:t> </w:t>
            </w:r>
            <w:bookmarkStart w:id="169" w:name="xdx_402_eus-gaap--ShareBasedCompensation"/>
            <w:bookmarkEnd w:id="169"/>
          </w:p>
        </w:tc>
      </w:tr>
      <w:tr>
        <w:trPr/>
        <w:tc>
          <w:tcPr>
            <w:tcW w:w="7357"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162</w:t>
            </w:r>
          </w:p>
        </w:tc>
        <w:tc>
          <w:tcPr>
            <w:tcW w:w="224"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247</w:t>
            </w:r>
          </w:p>
        </w:tc>
        <w:tc>
          <w:tcPr>
            <w:tcW w:w="172" w:type="dxa"/>
            <w:tcBorders/>
            <w:shd w:fill="FFFFFF" w:val="clear"/>
            <w:vAlign w:val="center"/>
          </w:tcPr>
          <w:p>
            <w:pPr>
              <w:pStyle w:val="TableContents"/>
              <w:bidi w:val="0"/>
              <w:spacing w:before="0" w:after="283"/>
              <w:jc w:val="left"/>
              <w:rPr/>
            </w:pPr>
            <w:r>
              <w:rPr/>
              <w:t> </w:t>
            </w:r>
            <w:bookmarkStart w:id="170" w:name="xdx_40F_eus-gaap--IncreaseDecreaseInOper"/>
            <w:bookmarkEnd w:id="170"/>
          </w:p>
        </w:tc>
      </w:tr>
      <w:tr>
        <w:trPr/>
        <w:tc>
          <w:tcPr>
            <w:tcW w:w="7357" w:type="dxa"/>
            <w:tcBorders/>
            <w:shd w:fill="CCEEFF" w:val="clear"/>
            <w:vAlign w:val="center"/>
          </w:tcPr>
          <w:p>
            <w:pPr>
              <w:pStyle w:val="TableContents"/>
              <w:bidi w:val="0"/>
              <w:spacing w:before="0" w:after="283"/>
              <w:jc w:val="left"/>
              <w:rPr/>
            </w:pPr>
            <w:r>
              <w:rPr/>
              <w:t>Changes in assets and liabilities related to operations: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22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bookmarkStart w:id="171" w:name="xdx_403_eus-gaap--IncreaseDecreaseInAcco"/>
            <w:bookmarkEnd w:id="171"/>
          </w:p>
        </w:tc>
      </w:tr>
      <w:tr>
        <w:trPr/>
        <w:tc>
          <w:tcPr>
            <w:tcW w:w="7357" w:type="dxa"/>
            <w:tcBorders/>
            <w:shd w:fill="FFFFFF" w:val="clear"/>
            <w:vAlign w:val="center"/>
          </w:tcPr>
          <w:p>
            <w:pPr>
              <w:pStyle w:val="TableContents"/>
              <w:bidi w:val="0"/>
              <w:spacing w:before="0" w:after="283"/>
              <w:jc w:val="left"/>
              <w:rPr/>
            </w:pPr>
            <w:r>
              <w:rPr/>
              <w:t>Trade accounts receivable, net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(2,509</w:t>
            </w:r>
          </w:p>
        </w:tc>
        <w:tc>
          <w:tcPr>
            <w:tcW w:w="224" w:type="dxa"/>
            <w:tcBorders/>
            <w:shd w:fill="FFFFFF" w:val="clear"/>
            <w:vAlign w:val="center"/>
          </w:tcPr>
          <w:p>
            <w:pPr>
              <w:pStyle w:val="TableContents"/>
              <w:bidi w:val="0"/>
              <w:spacing w:before="0" w:after="283"/>
              <w:jc w:val="left"/>
              <w:rPr/>
            </w:pPr>
            <w:r>
              <w:rPr/>
              <w:t>)</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(6,180</w:t>
            </w:r>
          </w:p>
        </w:tc>
        <w:tc>
          <w:tcPr>
            <w:tcW w:w="172" w:type="dxa"/>
            <w:tcBorders/>
            <w:shd w:fill="FFFFFF" w:val="clear"/>
            <w:vAlign w:val="center"/>
          </w:tcPr>
          <w:p>
            <w:pPr>
              <w:pStyle w:val="TableContents"/>
              <w:bidi w:val="0"/>
              <w:spacing w:before="0" w:after="283"/>
              <w:jc w:val="left"/>
              <w:rPr/>
            </w:pPr>
            <w:r>
              <w:rPr/>
              <w:t>)</w:t>
            </w:r>
            <w:bookmarkStart w:id="172" w:name="xdx_401_eus-gaap--IncreaseDecreaseInInve"/>
            <w:bookmarkEnd w:id="172"/>
          </w:p>
        </w:tc>
      </w:tr>
      <w:tr>
        <w:trPr/>
        <w:tc>
          <w:tcPr>
            <w:tcW w:w="7357" w:type="dxa"/>
            <w:tcBorders/>
            <w:shd w:fill="CCEEFF" w:val="clear"/>
            <w:vAlign w:val="center"/>
          </w:tcPr>
          <w:p>
            <w:pPr>
              <w:pStyle w:val="TableContents"/>
              <w:bidi w:val="0"/>
              <w:spacing w:before="0" w:after="283"/>
              <w:jc w:val="left"/>
              <w:rPr/>
            </w:pPr>
            <w:r>
              <w:rPr/>
              <w:t>Inventories, net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2,006</w:t>
            </w:r>
          </w:p>
        </w:tc>
        <w:tc>
          <w:tcPr>
            <w:tcW w:w="22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(395</w:t>
            </w:r>
          </w:p>
        </w:tc>
        <w:tc>
          <w:tcPr>
            <w:tcW w:w="172" w:type="dxa"/>
            <w:tcBorders/>
            <w:shd w:fill="CCEEFF" w:val="clear"/>
            <w:vAlign w:val="center"/>
          </w:tcPr>
          <w:p>
            <w:pPr>
              <w:pStyle w:val="TableContents"/>
              <w:bidi w:val="0"/>
              <w:spacing w:before="0" w:after="283"/>
              <w:jc w:val="left"/>
              <w:rPr/>
            </w:pPr>
            <w:r>
              <w:rPr/>
              <w:t>) </w:t>
            </w:r>
            <w:bookmarkStart w:id="173" w:name="xdx_400_eus-gaap--IncreaseDecreaseInPrep"/>
            <w:bookmarkEnd w:id="173"/>
          </w:p>
        </w:tc>
      </w:tr>
      <w:tr>
        <w:trPr/>
        <w:tc>
          <w:tcPr>
            <w:tcW w:w="7357"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219</w:t>
            </w:r>
          </w:p>
        </w:tc>
        <w:tc>
          <w:tcPr>
            <w:tcW w:w="224"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(978</w:t>
            </w:r>
          </w:p>
        </w:tc>
        <w:tc>
          <w:tcPr>
            <w:tcW w:w="172" w:type="dxa"/>
            <w:tcBorders/>
            <w:shd w:fill="FFFFFF" w:val="clear"/>
            <w:vAlign w:val="center"/>
          </w:tcPr>
          <w:p>
            <w:pPr>
              <w:pStyle w:val="TableContents"/>
              <w:bidi w:val="0"/>
              <w:spacing w:before="0" w:after="283"/>
              <w:jc w:val="left"/>
              <w:rPr/>
            </w:pPr>
            <w:r>
              <w:rPr/>
              <w:t>)</w:t>
            </w:r>
            <w:bookmarkStart w:id="174" w:name="xdx_403_eus-gaap--IncreaseDecreaseInAcco"/>
            <w:bookmarkEnd w:id="174"/>
          </w:p>
        </w:tc>
      </w:tr>
      <w:tr>
        <w:trPr/>
        <w:tc>
          <w:tcPr>
            <w:tcW w:w="7357"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766</w:t>
            </w:r>
          </w:p>
        </w:tc>
        <w:tc>
          <w:tcPr>
            <w:tcW w:w="22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(2,202</w:t>
            </w:r>
          </w:p>
        </w:tc>
        <w:tc>
          <w:tcPr>
            <w:tcW w:w="172" w:type="dxa"/>
            <w:tcBorders/>
            <w:shd w:fill="CCEEFF" w:val="clear"/>
            <w:vAlign w:val="center"/>
          </w:tcPr>
          <w:p>
            <w:pPr>
              <w:pStyle w:val="TableContents"/>
              <w:bidi w:val="0"/>
              <w:spacing w:before="0" w:after="283"/>
              <w:jc w:val="left"/>
              <w:rPr/>
            </w:pPr>
            <w:r>
              <w:rPr/>
              <w:t>)</w:t>
            </w:r>
            <w:bookmarkStart w:id="175" w:name="xdx_401_eus-gaap--IncreaseDecreaseInAccr"/>
            <w:bookmarkEnd w:id="175"/>
          </w:p>
        </w:tc>
      </w:tr>
      <w:tr>
        <w:trPr/>
        <w:tc>
          <w:tcPr>
            <w:tcW w:w="7357"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605</w:t>
            </w:r>
          </w:p>
        </w:tc>
        <w:tc>
          <w:tcPr>
            <w:tcW w:w="224"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1,301</w:t>
            </w:r>
          </w:p>
        </w:tc>
        <w:tc>
          <w:tcPr>
            <w:tcW w:w="172" w:type="dxa"/>
            <w:tcBorders/>
            <w:shd w:fill="FFFFFF" w:val="clear"/>
            <w:vAlign w:val="center"/>
          </w:tcPr>
          <w:p>
            <w:pPr>
              <w:pStyle w:val="TableContents"/>
              <w:bidi w:val="0"/>
              <w:spacing w:before="0" w:after="283"/>
              <w:jc w:val="left"/>
              <w:rPr/>
            </w:pPr>
            <w:r>
              <w:rPr/>
              <w:t> </w:t>
            </w:r>
            <w:bookmarkStart w:id="176" w:name="xdx_404_eus-gaap--IncreaseDecreaseInDefe"/>
            <w:bookmarkEnd w:id="176"/>
          </w:p>
        </w:tc>
      </w:tr>
      <w:tr>
        <w:trPr/>
        <w:tc>
          <w:tcPr>
            <w:tcW w:w="7357"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1,007</w:t>
            </w:r>
          </w:p>
        </w:tc>
        <w:tc>
          <w:tcPr>
            <w:tcW w:w="22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(3,402</w:t>
            </w:r>
          </w:p>
        </w:tc>
        <w:tc>
          <w:tcPr>
            <w:tcW w:w="172" w:type="dxa"/>
            <w:tcBorders/>
            <w:shd w:fill="CCEEFF" w:val="clear"/>
            <w:vAlign w:val="center"/>
          </w:tcPr>
          <w:p>
            <w:pPr>
              <w:pStyle w:val="TableContents"/>
              <w:bidi w:val="0"/>
              <w:spacing w:before="0" w:after="283"/>
              <w:jc w:val="left"/>
              <w:rPr/>
            </w:pPr>
            <w:r>
              <w:rPr/>
              <w:t>)</w:t>
            </w:r>
            <w:bookmarkStart w:id="177" w:name="xdx_40C_eus-gaap--IncreaseDecreaseInOper"/>
            <w:bookmarkEnd w:id="177"/>
          </w:p>
        </w:tc>
      </w:tr>
      <w:tr>
        <w:trPr/>
        <w:tc>
          <w:tcPr>
            <w:tcW w:w="7357" w:type="dxa"/>
            <w:tcBorders/>
            <w:shd w:fill="FFFFFF" w:val="clear"/>
            <w:vAlign w:val="center"/>
          </w:tcPr>
          <w:p>
            <w:pPr>
              <w:pStyle w:val="TableContents"/>
              <w:bidi w:val="0"/>
              <w:spacing w:before="0" w:after="283"/>
              <w:jc w:val="left"/>
              <w:rPr/>
            </w:pPr>
            <w:r>
              <w:rPr/>
              <w:t>Change in right of use asset and lease liability, net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FFFFFF" w:val="clear"/>
            <w:tcMar>
              <w:bottom w:w="28" w:type="dxa"/>
            </w:tcMar>
            <w:vAlign w:val="center"/>
          </w:tcPr>
          <w:p>
            <w:pPr>
              <w:pStyle w:val="TableContents"/>
              <w:bidi w:val="0"/>
              <w:spacing w:before="0" w:after="283"/>
              <w:jc w:val="right"/>
              <w:rPr/>
            </w:pPr>
            <w:r>
              <w:rPr/>
              <w:t>(64</w:t>
            </w:r>
          </w:p>
        </w:tc>
        <w:tc>
          <w:tcPr>
            <w:tcW w:w="224" w:type="dxa"/>
            <w:tcBorders/>
            <w:shd w:fill="FFFFFF" w:val="clear"/>
            <w:vAlign w:val="center"/>
          </w:tcPr>
          <w:p>
            <w:pPr>
              <w:pStyle w:val="TableContents"/>
              <w:bidi w:val="0"/>
              <w:spacing w:before="0" w:after="283"/>
              <w:jc w:val="left"/>
              <w:rPr/>
            </w:pPr>
            <w:r>
              <w:rPr/>
              <w:t>)</w:t>
            </w:r>
          </w:p>
        </w:tc>
        <w:tc>
          <w:tcPr>
            <w:tcW w:w="86"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pPr>
            <w:r>
              <w:rPr/>
              <w:t>(294</w:t>
            </w:r>
          </w:p>
        </w:tc>
        <w:tc>
          <w:tcPr>
            <w:tcW w:w="172" w:type="dxa"/>
            <w:tcBorders/>
            <w:shd w:fill="FFFFFF" w:val="clear"/>
            <w:vAlign w:val="center"/>
          </w:tcPr>
          <w:p>
            <w:pPr>
              <w:pStyle w:val="TableContents"/>
              <w:bidi w:val="0"/>
              <w:spacing w:before="0" w:after="283"/>
              <w:jc w:val="left"/>
              <w:rPr/>
            </w:pPr>
            <w:r>
              <w:rPr/>
              <w:t>)</w:t>
            </w:r>
            <w:bookmarkStart w:id="178" w:name="xdx_400_eus-gaap--NetCashProvidedByUsedI"/>
            <w:bookmarkEnd w:id="178"/>
          </w:p>
        </w:tc>
      </w:tr>
      <w:tr>
        <w:trPr/>
        <w:tc>
          <w:tcPr>
            <w:tcW w:w="7357" w:type="dxa"/>
            <w:tcBorders/>
            <w:shd w:fill="CCEEFF" w:val="clear"/>
            <w:vAlign w:val="center"/>
          </w:tcPr>
          <w:p>
            <w:pPr>
              <w:pStyle w:val="TableContents"/>
              <w:bidi w:val="0"/>
              <w:spacing w:before="0" w:after="283"/>
              <w:jc w:val="left"/>
              <w:rPr/>
            </w:pPr>
            <w:r>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CCEEFF" w:val="clear"/>
            <w:tcMar>
              <w:bottom w:w="28" w:type="dxa"/>
            </w:tcMar>
            <w:vAlign w:val="center"/>
          </w:tcPr>
          <w:p>
            <w:pPr>
              <w:pStyle w:val="TableContents"/>
              <w:bidi w:val="0"/>
              <w:spacing w:before="0" w:after="283"/>
              <w:jc w:val="right"/>
              <w:rPr/>
            </w:pPr>
            <w:r>
              <w:rPr/>
              <w:t>1,708</w:t>
            </w:r>
          </w:p>
        </w:tc>
        <w:tc>
          <w:tcPr>
            <w:tcW w:w="22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pPr>
            <w:r>
              <w:rPr/>
              <w:t>(7,875</w:t>
            </w:r>
          </w:p>
        </w:tc>
        <w:tc>
          <w:tcPr>
            <w:tcW w:w="172" w:type="dxa"/>
            <w:tcBorders/>
            <w:shd w:fill="CCEEFF" w:val="clear"/>
            <w:vAlign w:val="center"/>
          </w:tcPr>
          <w:p>
            <w:pPr>
              <w:pStyle w:val="TableContents"/>
              <w:bidi w:val="0"/>
              <w:spacing w:before="0" w:after="283"/>
              <w:jc w:val="left"/>
              <w:rPr/>
            </w:pPr>
            <w:r>
              <w:rPr/>
              <w:t>)</w:t>
            </w:r>
          </w:p>
        </w:tc>
      </w:tr>
      <w:tr>
        <w:trPr/>
        <w:tc>
          <w:tcPr>
            <w:tcW w:w="73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bookmarkStart w:id="179" w:name="xdx_400_eus-gaap--NetCashProvidedByUsedI"/>
            <w:bookmarkEnd w:id="179"/>
          </w:p>
        </w:tc>
      </w:tr>
      <w:tr>
        <w:trPr/>
        <w:tc>
          <w:tcPr>
            <w:tcW w:w="7357" w:type="dxa"/>
            <w:tcBorders/>
            <w:shd w:fill="CCEEFF" w:val="clear"/>
            <w:vAlign w:val="center"/>
          </w:tcPr>
          <w:p>
            <w:pPr>
              <w:pStyle w:val="TableContents"/>
              <w:bidi w:val="0"/>
              <w:spacing w:before="0" w:after="283"/>
              <w:jc w:val="left"/>
              <w:rPr>
                <w:b/>
              </w:rPr>
            </w:pPr>
            <w:r>
              <w:rPr>
                <w:b/>
              </w:rPr>
              <w:t>Investing activities: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22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bookmarkStart w:id="180" w:name="xdx_404_eus-gaap--PaymentsForProceedsFro"/>
            <w:bookmarkEnd w:id="180"/>
          </w:p>
        </w:tc>
      </w:tr>
      <w:tr>
        <w:trPr/>
        <w:tc>
          <w:tcPr>
            <w:tcW w:w="7357" w:type="dxa"/>
            <w:tcBorders/>
            <w:shd w:fill="FFFFFF" w:val="clear"/>
            <w:vAlign w:val="center"/>
          </w:tcPr>
          <w:p>
            <w:pPr>
              <w:pStyle w:val="TableContents"/>
              <w:bidi w:val="0"/>
              <w:spacing w:before="0" w:after="283"/>
              <w:jc w:val="left"/>
              <w:rPr/>
            </w:pPr>
            <w:r>
              <w:rPr/>
              <w:t>Acquisition of equipment and leasehold improvements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FFFFFF" w:val="clear"/>
            <w:tcMar>
              <w:bottom w:w="28" w:type="dxa"/>
            </w:tcMar>
            <w:vAlign w:val="center"/>
          </w:tcPr>
          <w:p>
            <w:pPr>
              <w:pStyle w:val="TableContents"/>
              <w:bidi w:val="0"/>
              <w:spacing w:before="0" w:after="283"/>
              <w:jc w:val="right"/>
              <w:rPr/>
            </w:pPr>
            <w:r>
              <w:rPr/>
              <w:t>(997</w:t>
            </w:r>
          </w:p>
        </w:tc>
        <w:tc>
          <w:tcPr>
            <w:tcW w:w="224" w:type="dxa"/>
            <w:tcBorders/>
            <w:shd w:fill="FFFFFF" w:val="clear"/>
            <w:vAlign w:val="center"/>
          </w:tcPr>
          <w:p>
            <w:pPr>
              <w:pStyle w:val="TableContents"/>
              <w:bidi w:val="0"/>
              <w:spacing w:before="0" w:after="283"/>
              <w:jc w:val="left"/>
              <w:rPr/>
            </w:pPr>
            <w:r>
              <w:rPr/>
              <w:t>)</w:t>
            </w:r>
          </w:p>
        </w:tc>
        <w:tc>
          <w:tcPr>
            <w:tcW w:w="86"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pPr>
            <w:r>
              <w:rPr/>
              <w:t>(1,275</w:t>
            </w:r>
          </w:p>
        </w:tc>
        <w:tc>
          <w:tcPr>
            <w:tcW w:w="172" w:type="dxa"/>
            <w:tcBorders/>
            <w:shd w:fill="FFFFFF" w:val="clear"/>
            <w:vAlign w:val="center"/>
          </w:tcPr>
          <w:p>
            <w:pPr>
              <w:pStyle w:val="TableContents"/>
              <w:bidi w:val="0"/>
              <w:spacing w:before="0" w:after="283"/>
              <w:jc w:val="left"/>
              <w:rPr/>
            </w:pPr>
            <w:r>
              <w:rPr/>
              <w:t>)</w:t>
            </w:r>
            <w:bookmarkStart w:id="181" w:name="xdx_40C_eus-gaap--NetCashProvidedByUsedI"/>
            <w:bookmarkEnd w:id="181"/>
          </w:p>
        </w:tc>
      </w:tr>
      <w:tr>
        <w:trPr/>
        <w:tc>
          <w:tcPr>
            <w:tcW w:w="7357"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CCEEFF" w:val="clear"/>
            <w:tcMar>
              <w:bottom w:w="28" w:type="dxa"/>
            </w:tcMar>
            <w:vAlign w:val="center"/>
          </w:tcPr>
          <w:p>
            <w:pPr>
              <w:pStyle w:val="TableContents"/>
              <w:bidi w:val="0"/>
              <w:spacing w:before="0" w:after="283"/>
              <w:jc w:val="right"/>
              <w:rPr/>
            </w:pPr>
            <w:r>
              <w:rPr/>
              <w:t>(997</w:t>
            </w:r>
          </w:p>
        </w:tc>
        <w:tc>
          <w:tcPr>
            <w:tcW w:w="224" w:type="dxa"/>
            <w:tcBorders/>
            <w:shd w:fill="CCEEFF" w:val="clear"/>
            <w:vAlign w:val="center"/>
          </w:tcPr>
          <w:p>
            <w:pPr>
              <w:pStyle w:val="TableContents"/>
              <w:bidi w:val="0"/>
              <w:spacing w:before="0" w:after="283"/>
              <w:jc w:val="left"/>
              <w:rPr/>
            </w:pPr>
            <w:r>
              <w:rPr/>
              <w:t>)</w:t>
            </w:r>
          </w:p>
        </w:tc>
        <w:tc>
          <w:tcPr>
            <w:tcW w:w="86"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pPr>
            <w:r>
              <w:rPr/>
              <w:t>(1,275</w:t>
            </w:r>
          </w:p>
        </w:tc>
        <w:tc>
          <w:tcPr>
            <w:tcW w:w="172" w:type="dxa"/>
            <w:tcBorders/>
            <w:shd w:fill="CCEEFF" w:val="clear"/>
            <w:vAlign w:val="center"/>
          </w:tcPr>
          <w:p>
            <w:pPr>
              <w:pStyle w:val="TableContents"/>
              <w:bidi w:val="0"/>
              <w:spacing w:before="0" w:after="283"/>
              <w:jc w:val="left"/>
              <w:rPr/>
            </w:pPr>
            <w:r>
              <w:rPr/>
              <w:t>)</w:t>
            </w:r>
          </w:p>
        </w:tc>
      </w:tr>
      <w:tr>
        <w:trPr/>
        <w:tc>
          <w:tcPr>
            <w:tcW w:w="73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bookmarkStart w:id="182" w:name="xdx_40F_eus-gaap--NetCashProvidedByUsedI"/>
            <w:bookmarkEnd w:id="182"/>
          </w:p>
        </w:tc>
      </w:tr>
      <w:tr>
        <w:trPr/>
        <w:tc>
          <w:tcPr>
            <w:tcW w:w="7357"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22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bookmarkStart w:id="183" w:name="xdx_402_eus-gaap--ProceedsFromLinesOfCre"/>
            <w:bookmarkEnd w:id="183"/>
          </w:p>
        </w:tc>
      </w:tr>
      <w:tr>
        <w:trPr/>
        <w:tc>
          <w:tcPr>
            <w:tcW w:w="7357" w:type="dxa"/>
            <w:tcBorders/>
            <w:shd w:fill="FFFFFF" w:val="clear"/>
            <w:vAlign w:val="center"/>
          </w:tcPr>
          <w:p>
            <w:pPr>
              <w:pStyle w:val="TableContents"/>
              <w:bidi w:val="0"/>
              <w:spacing w:before="0" w:after="283"/>
              <w:jc w:val="left"/>
              <w:rPr/>
            </w:pPr>
            <w:r>
              <w:rPr/>
              <w:t>Proceeds from line of credit - inventory, related party</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w:t>
            </w:r>
          </w:p>
        </w:tc>
        <w:tc>
          <w:tcPr>
            <w:tcW w:w="224"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5,500</w:t>
            </w:r>
          </w:p>
        </w:tc>
        <w:tc>
          <w:tcPr>
            <w:tcW w:w="172" w:type="dxa"/>
            <w:tcBorders/>
            <w:shd w:fill="FFFFFF" w:val="clear"/>
            <w:vAlign w:val="center"/>
          </w:tcPr>
          <w:p>
            <w:pPr>
              <w:pStyle w:val="TableContents"/>
              <w:bidi w:val="0"/>
              <w:spacing w:before="0" w:after="283"/>
              <w:jc w:val="left"/>
              <w:rPr/>
            </w:pPr>
            <w:r>
              <w:rPr/>
              <w:t> </w:t>
            </w:r>
            <w:bookmarkStart w:id="184" w:name="xdx_405_eus-gaap--ProceedsFromOtherShort"/>
            <w:bookmarkEnd w:id="184"/>
          </w:p>
        </w:tc>
      </w:tr>
      <w:tr>
        <w:trPr/>
        <w:tc>
          <w:tcPr>
            <w:tcW w:w="7357" w:type="dxa"/>
            <w:tcBorders/>
            <w:shd w:fill="CCEEFF" w:val="clear"/>
            <w:vAlign w:val="center"/>
          </w:tcPr>
          <w:p>
            <w:pPr>
              <w:pStyle w:val="TableContents"/>
              <w:bidi w:val="0"/>
              <w:spacing w:before="0" w:after="283"/>
              <w:jc w:val="left"/>
              <w:rPr/>
            </w:pPr>
            <w:r>
              <w:rPr/>
              <w:t>Proceeds from line of credit – accounts receivable, related party</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w:t>
            </w:r>
          </w:p>
        </w:tc>
        <w:tc>
          <w:tcPr>
            <w:tcW w:w="22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6,099</w:t>
            </w:r>
          </w:p>
        </w:tc>
        <w:tc>
          <w:tcPr>
            <w:tcW w:w="172" w:type="dxa"/>
            <w:tcBorders/>
            <w:shd w:fill="CCEEFF" w:val="clear"/>
            <w:vAlign w:val="center"/>
          </w:tcPr>
          <w:p>
            <w:pPr>
              <w:pStyle w:val="TableContents"/>
              <w:bidi w:val="0"/>
              <w:spacing w:before="0" w:after="283"/>
              <w:jc w:val="left"/>
              <w:rPr/>
            </w:pPr>
            <w:r>
              <w:rPr/>
              <w:t> </w:t>
            </w:r>
            <w:bookmarkStart w:id="185" w:name="xdx_40A_eus-gaap--RepaymentsOfRelatedPar"/>
            <w:bookmarkEnd w:id="185"/>
          </w:p>
        </w:tc>
      </w:tr>
      <w:tr>
        <w:trPr/>
        <w:tc>
          <w:tcPr>
            <w:tcW w:w="7357" w:type="dxa"/>
            <w:tcBorders/>
            <w:shd w:fill="FFFFFF" w:val="clear"/>
            <w:vAlign w:val="center"/>
          </w:tcPr>
          <w:p>
            <w:pPr>
              <w:pStyle w:val="TableContents"/>
              <w:bidi w:val="0"/>
              <w:spacing w:before="0" w:after="283"/>
              <w:jc w:val="left"/>
              <w:rPr/>
            </w:pPr>
            <w:r>
              <w:rPr/>
              <w:t>Payments to line of credit – accounts receivable, related party</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(980</w:t>
            </w:r>
          </w:p>
        </w:tc>
        <w:tc>
          <w:tcPr>
            <w:tcW w:w="224" w:type="dxa"/>
            <w:tcBorders/>
            <w:shd w:fill="FFFFFF" w:val="clear"/>
            <w:vAlign w:val="center"/>
          </w:tcPr>
          <w:p>
            <w:pPr>
              <w:pStyle w:val="TableContents"/>
              <w:bidi w:val="0"/>
              <w:spacing w:before="0" w:after="283"/>
              <w:jc w:val="left"/>
              <w:rPr/>
            </w:pPr>
            <w:r>
              <w:rPr/>
              <w:t>)</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w:t>
            </w:r>
          </w:p>
        </w:tc>
        <w:tc>
          <w:tcPr>
            <w:tcW w:w="172" w:type="dxa"/>
            <w:tcBorders/>
            <w:shd w:fill="FFFFFF" w:val="clear"/>
            <w:vAlign w:val="center"/>
          </w:tcPr>
          <w:p>
            <w:pPr>
              <w:pStyle w:val="TableContents"/>
              <w:bidi w:val="0"/>
              <w:spacing w:before="0" w:after="283"/>
              <w:jc w:val="left"/>
              <w:rPr/>
            </w:pPr>
            <w:r>
              <w:rPr/>
              <w:t> </w:t>
            </w:r>
            <w:bookmarkStart w:id="186" w:name="xdx_40B_eus-gaap--ProceedsFromIssuanceOf"/>
            <w:bookmarkEnd w:id="186"/>
          </w:p>
        </w:tc>
      </w:tr>
      <w:tr>
        <w:trPr/>
        <w:tc>
          <w:tcPr>
            <w:tcW w:w="7357" w:type="dxa"/>
            <w:tcBorders/>
            <w:shd w:fill="CCEEFF" w:val="clear"/>
            <w:vAlign w:val="center"/>
          </w:tcPr>
          <w:p>
            <w:pPr>
              <w:pStyle w:val="TableContents"/>
              <w:bidi w:val="0"/>
              <w:spacing w:before="0" w:after="283"/>
              <w:jc w:val="left"/>
              <w:rPr/>
            </w:pPr>
            <w:r>
              <w:rPr/>
              <w:t>Proceeds from issuance of stock and exercise of stock options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CCEEFF" w:val="clear"/>
            <w:tcMar>
              <w:bottom w:w="28" w:type="dxa"/>
            </w:tcMar>
            <w:vAlign w:val="center"/>
          </w:tcPr>
          <w:p>
            <w:pPr>
              <w:pStyle w:val="TableContents"/>
              <w:bidi w:val="0"/>
              <w:spacing w:before="0" w:after="283"/>
              <w:jc w:val="right"/>
              <w:rPr/>
            </w:pPr>
            <w:r>
              <w:rPr/>
              <w:t>27</w:t>
            </w:r>
          </w:p>
        </w:tc>
        <w:tc>
          <w:tcPr>
            <w:tcW w:w="22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pPr>
            <w:r>
              <w:rPr/>
              <w:t>250</w:t>
            </w:r>
          </w:p>
        </w:tc>
        <w:tc>
          <w:tcPr>
            <w:tcW w:w="172" w:type="dxa"/>
            <w:tcBorders/>
            <w:shd w:fill="CCEEFF" w:val="clear"/>
            <w:vAlign w:val="center"/>
          </w:tcPr>
          <w:p>
            <w:pPr>
              <w:pStyle w:val="TableContents"/>
              <w:bidi w:val="0"/>
              <w:spacing w:before="0" w:after="283"/>
              <w:jc w:val="left"/>
              <w:rPr/>
            </w:pPr>
            <w:r>
              <w:rPr/>
              <w:t> </w:t>
            </w:r>
            <w:bookmarkStart w:id="187" w:name="xdx_401_eus-gaap--NetCashProvidedByUsedI"/>
            <w:bookmarkEnd w:id="187"/>
          </w:p>
        </w:tc>
      </w:tr>
      <w:tr>
        <w:trPr/>
        <w:tc>
          <w:tcPr>
            <w:tcW w:w="7357" w:type="dxa"/>
            <w:tcBorders/>
            <w:shd w:fill="FFFFFF" w:val="clear"/>
            <w:vAlign w:val="center"/>
          </w:tcPr>
          <w:p>
            <w:pPr>
              <w:pStyle w:val="TableContents"/>
              <w:bidi w:val="0"/>
              <w:spacing w:before="0" w:after="283"/>
              <w:jc w:val="left"/>
              <w:rPr/>
            </w:pPr>
            <w:r>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FFFFFF" w:val="clear"/>
            <w:tcMar>
              <w:bottom w:w="28" w:type="dxa"/>
            </w:tcMar>
            <w:vAlign w:val="center"/>
          </w:tcPr>
          <w:p>
            <w:pPr>
              <w:pStyle w:val="TableContents"/>
              <w:bidi w:val="0"/>
              <w:spacing w:before="0" w:after="283"/>
              <w:jc w:val="right"/>
              <w:rPr/>
            </w:pPr>
            <w:r>
              <w:rPr/>
              <w:t>(953</w:t>
            </w:r>
          </w:p>
        </w:tc>
        <w:tc>
          <w:tcPr>
            <w:tcW w:w="224" w:type="dxa"/>
            <w:tcBorders/>
            <w:shd w:fill="FFFFFF" w:val="clear"/>
            <w:vAlign w:val="center"/>
          </w:tcPr>
          <w:p>
            <w:pPr>
              <w:pStyle w:val="TableContents"/>
              <w:bidi w:val="0"/>
              <w:spacing w:before="0" w:after="283"/>
              <w:jc w:val="left"/>
              <w:rPr/>
            </w:pPr>
            <w:r>
              <w:rPr/>
              <w:t>)</w:t>
            </w:r>
          </w:p>
        </w:tc>
        <w:tc>
          <w:tcPr>
            <w:tcW w:w="86"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pPr>
            <w:r>
              <w:rPr/>
              <w:t>11,849</w:t>
            </w:r>
          </w:p>
        </w:tc>
        <w:tc>
          <w:tcPr>
            <w:tcW w:w="172" w:type="dxa"/>
            <w:tcBorders/>
            <w:shd w:fill="FFFFFF" w:val="clear"/>
            <w:vAlign w:val="center"/>
          </w:tcPr>
          <w:p>
            <w:pPr>
              <w:pStyle w:val="TableContents"/>
              <w:bidi w:val="0"/>
              <w:spacing w:before="0" w:after="283"/>
              <w:jc w:val="left"/>
              <w:rPr/>
            </w:pPr>
            <w:r>
              <w:rPr/>
              <w:t> </w:t>
            </w:r>
            <w:bookmarkStart w:id="188" w:name="xdx_40B_eus-gaap--CashCashEquivalentsRes"/>
            <w:bookmarkEnd w:id="188"/>
          </w:p>
        </w:tc>
      </w:tr>
      <w:tr>
        <w:trPr/>
        <w:tc>
          <w:tcPr>
            <w:tcW w:w="7357" w:type="dxa"/>
            <w:tcBorders/>
            <w:shd w:fill="CCEEFF" w:val="clear"/>
            <w:vAlign w:val="center"/>
          </w:tcPr>
          <w:p>
            <w:pPr>
              <w:pStyle w:val="TableContents"/>
              <w:bidi w:val="0"/>
              <w:spacing w:before="0" w:after="283"/>
              <w:jc w:val="left"/>
              <w:rPr/>
            </w:pPr>
            <w:r>
              <w:rPr/>
              <w:t>(Decrease) increase in cash</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(242</w:t>
            </w:r>
          </w:p>
        </w:tc>
        <w:tc>
          <w:tcPr>
            <w:tcW w:w="224" w:type="dxa"/>
            <w:tcBorders/>
            <w:shd w:fill="CCEEFF" w:val="clear"/>
            <w:vAlign w:val="center"/>
          </w:tcPr>
          <w:p>
            <w:pPr>
              <w:pStyle w:val="TableContents"/>
              <w:bidi w:val="0"/>
              <w:spacing w:before="0" w:after="283"/>
              <w:jc w:val="left"/>
              <w:rPr/>
            </w:pPr>
            <w:r>
              <w:rPr/>
              <w:t>)</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2,699</w:t>
            </w:r>
          </w:p>
        </w:tc>
        <w:tc>
          <w:tcPr>
            <w:tcW w:w="172" w:type="dxa"/>
            <w:tcBorders/>
            <w:shd w:fill="CCEEFF" w:val="clear"/>
            <w:vAlign w:val="center"/>
          </w:tcPr>
          <w:p>
            <w:pPr>
              <w:pStyle w:val="TableContents"/>
              <w:bidi w:val="0"/>
              <w:spacing w:before="0" w:after="283"/>
              <w:jc w:val="left"/>
              <w:rPr/>
            </w:pPr>
            <w:r>
              <w:rPr/>
              <w:t> </w:t>
            </w:r>
            <w:bookmarkStart w:id="189" w:name="xdx_406_eus-gaap--CashCashEquivalentsRes"/>
            <w:bookmarkEnd w:id="189"/>
          </w:p>
        </w:tc>
      </w:tr>
      <w:tr>
        <w:trPr/>
        <w:tc>
          <w:tcPr>
            <w:tcW w:w="7357"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FFFFFF" w:val="clear"/>
            <w:tcMar>
              <w:bottom w:w="28" w:type="dxa"/>
            </w:tcMar>
            <w:vAlign w:val="center"/>
          </w:tcPr>
          <w:p>
            <w:pPr>
              <w:pStyle w:val="TableContents"/>
              <w:bidi w:val="0"/>
              <w:spacing w:before="0" w:after="283"/>
              <w:jc w:val="right"/>
              <w:rPr/>
            </w:pPr>
            <w:r>
              <w:rPr/>
              <w:t>1,288</w:t>
            </w:r>
          </w:p>
        </w:tc>
        <w:tc>
          <w:tcPr>
            <w:tcW w:w="224"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pPr>
            <w:r>
              <w:rPr/>
              <w:t>1,409</w:t>
            </w:r>
          </w:p>
        </w:tc>
        <w:tc>
          <w:tcPr>
            <w:tcW w:w="172" w:type="dxa"/>
            <w:tcBorders/>
            <w:shd w:fill="FFFFFF" w:val="clear"/>
            <w:vAlign w:val="center"/>
          </w:tcPr>
          <w:p>
            <w:pPr>
              <w:pStyle w:val="TableContents"/>
              <w:bidi w:val="0"/>
              <w:spacing w:before="0" w:after="283"/>
              <w:jc w:val="left"/>
              <w:rPr/>
            </w:pPr>
            <w:r>
              <w:rPr/>
              <w:t> </w:t>
            </w:r>
            <w:bookmarkStart w:id="190" w:name="xdx_409_eus-gaap--CashCashEquivalentsRes"/>
            <w:bookmarkEnd w:id="190"/>
          </w:p>
        </w:tc>
      </w:tr>
      <w:tr>
        <w:trPr/>
        <w:tc>
          <w:tcPr>
            <w:tcW w:w="7357"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8" w:type="dxa"/>
            <w:tcBorders>
              <w:bottom w:val="double" w:sz="6" w:space="0" w:color="000000"/>
            </w:tcBorders>
            <w:shd w:fill="CCEEFF" w:val="clear"/>
            <w:tcMar>
              <w:bottom w:w="28" w:type="dxa"/>
            </w:tcMar>
            <w:vAlign w:val="center"/>
          </w:tcPr>
          <w:p>
            <w:pPr>
              <w:pStyle w:val="TableContents"/>
              <w:bidi w:val="0"/>
              <w:spacing w:before="0" w:after="283"/>
              <w:jc w:val="right"/>
              <w:rPr/>
            </w:pPr>
            <w:r>
              <w:rPr/>
              <w:t>1,046</w:t>
            </w:r>
          </w:p>
        </w:tc>
        <w:tc>
          <w:tcPr>
            <w:tcW w:w="22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jc w:val="right"/>
              <w:rPr/>
            </w:pPr>
            <w:r>
              <w:rPr/>
              <w:t>4,108</w:t>
            </w:r>
          </w:p>
        </w:tc>
        <w:tc>
          <w:tcPr>
            <w:tcW w:w="172"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bookmarkStart w:id="191" w:name="xdx_402_eus-gaap--SupplementalCashFlowIn"/>
            <w:bookmarkEnd w:id="191"/>
          </w:p>
        </w:tc>
      </w:tr>
      <w:tr>
        <w:trPr/>
        <w:tc>
          <w:tcPr>
            <w:tcW w:w="7357" w:type="dxa"/>
            <w:tcBorders/>
            <w:shd w:fill="CCEEFF" w:val="clear"/>
            <w:vAlign w:val="center"/>
          </w:tcPr>
          <w:p>
            <w:pPr>
              <w:pStyle w:val="TableContents"/>
              <w:bidi w:val="0"/>
              <w:spacing w:before="0" w:after="283"/>
              <w:jc w:val="left"/>
              <w:rPr>
                <w:b/>
              </w:rPr>
            </w:pPr>
            <w:r>
              <w:rPr>
                <w:b/>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22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bookmarkStart w:id="192" w:name="xdx_407_eus-gaap--InterestPaidNet_i01_z0"/>
            <w:bookmarkEnd w:id="192"/>
          </w:p>
        </w:tc>
      </w:tr>
      <w:tr>
        <w:trPr/>
        <w:tc>
          <w:tcPr>
            <w:tcW w:w="7357"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8" w:type="dxa"/>
            <w:tcBorders>
              <w:bottom w:val="double" w:sz="6" w:space="0" w:color="000000"/>
            </w:tcBorders>
            <w:shd w:fill="FFFFFF" w:val="clear"/>
            <w:tcMar>
              <w:bottom w:w="28" w:type="dxa"/>
            </w:tcMar>
            <w:vAlign w:val="center"/>
          </w:tcPr>
          <w:p>
            <w:pPr>
              <w:pStyle w:val="TableContents"/>
              <w:bidi w:val="0"/>
              <w:spacing w:before="0" w:after="283"/>
              <w:jc w:val="right"/>
              <w:rPr/>
            </w:pPr>
            <w:r>
              <w:rPr/>
              <w:t>452</w:t>
            </w:r>
          </w:p>
        </w:tc>
        <w:tc>
          <w:tcPr>
            <w:tcW w:w="224"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4" w:type="dxa"/>
            <w:tcBorders>
              <w:bottom w:val="double" w:sz="6" w:space="0" w:color="000000"/>
            </w:tcBorders>
            <w:shd w:fill="FFFFFF" w:val="clear"/>
            <w:tcMar>
              <w:bottom w:w="28" w:type="dxa"/>
            </w:tcMar>
            <w:vAlign w:val="center"/>
          </w:tcPr>
          <w:p>
            <w:pPr>
              <w:pStyle w:val="TableContents"/>
              <w:bidi w:val="0"/>
              <w:spacing w:before="0" w:after="283"/>
              <w:jc w:val="right"/>
              <w:rPr/>
            </w:pPr>
            <w:r>
              <w:rPr/>
              <w:t>354</w:t>
            </w:r>
          </w:p>
        </w:tc>
        <w:tc>
          <w:tcPr>
            <w:tcW w:w="172" w:type="dxa"/>
            <w:tcBorders/>
            <w:shd w:fill="FFFFFF" w:val="clear"/>
            <w:vAlign w:val="center"/>
          </w:tcPr>
          <w:p>
            <w:pPr>
              <w:pStyle w:val="TableContents"/>
              <w:bidi w:val="0"/>
              <w:spacing w:before="0" w:after="283"/>
              <w:jc w:val="left"/>
              <w:rPr/>
            </w:pPr>
            <w:r>
              <w:rPr/>
              <w:t> </w:t>
            </w:r>
            <w:bookmarkStart w:id="193" w:name="xdx_403_eus-gaap--IncomeTaxesPaidNet_i01"/>
            <w:bookmarkEnd w:id="193"/>
          </w:p>
        </w:tc>
      </w:tr>
      <w:tr>
        <w:trPr/>
        <w:tc>
          <w:tcPr>
            <w:tcW w:w="7357" w:type="dxa"/>
            <w:tcBorders/>
            <w:shd w:fill="CCEEFF" w:val="clear"/>
            <w:vAlign w:val="center"/>
          </w:tcPr>
          <w:p>
            <w:pPr>
              <w:pStyle w:val="TableContents"/>
              <w:bidi w:val="0"/>
              <w:spacing w:before="0" w:after="283"/>
              <w:jc w:val="left"/>
              <w:rPr/>
            </w:pPr>
            <w:r>
              <w:rPr/>
              <w:t>Income taxes paid</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22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jc w:val="right"/>
              <w:rPr/>
            </w:pPr>
            <w:r>
              <w:rPr/>
              <w:t>325</w:t>
            </w:r>
          </w:p>
        </w:tc>
        <w:tc>
          <w:tcPr>
            <w:tcW w:w="172"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bookmarkStart w:id="194" w:name="xdx_400_eus-gaap--CashFlowNoncashInvesti"/>
            <w:bookmarkEnd w:id="194"/>
          </w:p>
        </w:tc>
      </w:tr>
      <w:tr>
        <w:trPr/>
        <w:tc>
          <w:tcPr>
            <w:tcW w:w="7357" w:type="dxa"/>
            <w:tcBorders/>
            <w:shd w:fill="CCEEFF" w:val="clear"/>
            <w:vAlign w:val="center"/>
          </w:tcPr>
          <w:p>
            <w:pPr>
              <w:pStyle w:val="TableContents"/>
              <w:bidi w:val="0"/>
              <w:spacing w:before="0" w:after="283"/>
              <w:jc w:val="left"/>
              <w:rPr>
                <w:b/>
              </w:rPr>
            </w:pPr>
            <w:r>
              <w:rPr>
                <w:b/>
              </w:rPr>
              <w:t>Supplemental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22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bookmarkStart w:id="195" w:name="xdx_40F_eus-gaap--CapitalExpendituresInc"/>
            <w:bookmarkEnd w:id="195"/>
          </w:p>
        </w:tc>
      </w:tr>
      <w:tr>
        <w:trPr/>
        <w:tc>
          <w:tcPr>
            <w:tcW w:w="7357" w:type="dxa"/>
            <w:tcBorders/>
            <w:shd w:fill="FFFFFF" w:val="clear"/>
            <w:vAlign w:val="center"/>
          </w:tcPr>
          <w:p>
            <w:pPr>
              <w:pStyle w:val="TableContents"/>
              <w:bidi w:val="0"/>
              <w:spacing w:before="0" w:after="283"/>
              <w:jc w:val="left"/>
              <w:rPr/>
            </w:pPr>
            <w:r>
              <w:rPr/>
              <w:t>Accounts payable incurred for the purchase of equipment and leasehold improvements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8" w:type="dxa"/>
            <w:tcBorders>
              <w:bottom w:val="double" w:sz="6" w:space="0" w:color="000000"/>
            </w:tcBorders>
            <w:shd w:fill="FFFFFF" w:val="clear"/>
            <w:tcMar>
              <w:bottom w:w="28" w:type="dxa"/>
            </w:tcMar>
            <w:vAlign w:val="center"/>
          </w:tcPr>
          <w:p>
            <w:pPr>
              <w:pStyle w:val="TableContents"/>
              <w:bidi w:val="0"/>
              <w:spacing w:before="0" w:after="283"/>
              <w:jc w:val="right"/>
              <w:rPr/>
            </w:pPr>
            <w:r>
              <w:rPr/>
              <w:t>104</w:t>
            </w:r>
          </w:p>
        </w:tc>
        <w:tc>
          <w:tcPr>
            <w:tcW w:w="224"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4" w:type="dxa"/>
            <w:tcBorders>
              <w:bottom w:val="double" w:sz="6" w:space="0" w:color="000000"/>
            </w:tcBorders>
            <w:shd w:fill="FFFFFF" w:val="clear"/>
            <w:tcMar>
              <w:bottom w:w="28" w:type="dxa"/>
            </w:tcMar>
            <w:vAlign w:val="center"/>
          </w:tcPr>
          <w:p>
            <w:pPr>
              <w:pStyle w:val="TableContents"/>
              <w:bidi w:val="0"/>
              <w:spacing w:before="0" w:after="283"/>
              <w:jc w:val="right"/>
              <w:rPr/>
            </w:pPr>
            <w:r>
              <w:rPr/>
              <w:t>499</w:t>
            </w:r>
          </w:p>
        </w:tc>
        <w:tc>
          <w:tcPr>
            <w:tcW w:w="17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SOLÉSENCE, INC.</w:t>
      </w:r>
    </w:p>
    <w:p>
      <w:pPr>
        <w:pStyle w:val="TextBody"/>
        <w:bidi w:val="0"/>
        <w:spacing w:before="0" w:after="0"/>
        <w:ind w:left="0" w:right="0" w:hanging="0"/>
        <w:jc w:val="center"/>
        <w:rPr>
          <w:caps w:val="false"/>
          <w:smallCaps w:val="false"/>
        </w:rPr>
      </w:pPr>
      <w:r>
        <w:rPr>
          <w:caps w:val="false"/>
          <w:smallCaps w:val="false"/>
        </w:rPr>
        <w:t> </w:t>
      </w:r>
      <w:bookmarkStart w:id="196" w:name="sol10qa007"/>
      <w:bookmarkEnd w:id="196"/>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Condensed)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Reviewed)</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(In thousands, except share and per share data or as otherwise noted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97" w:name="xdx_808_eus-gaap--BusinessDescriptionAnd"/>
      <w:bookmarkEnd w:id="197"/>
      <w:r>
        <w:rPr>
          <w:caps w:val="false"/>
          <w:smallCaps w:val="false"/>
        </w:rPr>
        <w:t> </w:t>
      </w:r>
      <w:r>
        <w:rPr>
          <w:rFonts w:ascii="Times New Roman;Times;Serif" w:hAnsi="Times New Roman;Times;Serif"/>
          <w:b/>
          <w:i w:val="false"/>
          <w:caps w:val="false"/>
          <w:smallCaps w:val="false"/>
          <w:sz w:val="20"/>
        </w:rPr>
        <w:t>(1) </w:t>
      </w:r>
      <w:bookmarkStart w:id="198" w:name="xdx_821_ztXFdDuDJkta"/>
      <w:bookmarkEnd w:id="198"/>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consolidated condensed interim financial statements of Solésence, Inc. (“Solésence”, “Company”, “we”, “our”, or “us”) reflect all adjustments (consisting of normal recurring adjustments) which, in the opinion of management, are necessary for a fair statement of our financial position and operating results for the interim periods presented. All statements include the results from both Solésence, Inc. and our wholly-owned subsidiary, Solésence, LLC. Operating results for the three and six months ended June 30, 2026, are not necessarily indicative of the results that may be expected for the year ending December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should be read in conjunction with our audited financial statements and notes thereto for the year ended December 31, 2025, included in the Company’s Annual Report on Form 10-K for the year ended December 31, 2025, as filed with the Securities and Exchange Commission.</w:t>
      </w:r>
    </w:p>
    <w:p>
      <w:pPr>
        <w:pStyle w:val="TextBody"/>
        <w:bidi w:val="0"/>
        <w:spacing w:before="0" w:after="0"/>
        <w:ind w:left="0" w:right="0" w:firstLine="720"/>
        <w:jc w:val="both"/>
        <w:rPr>
          <w:caps w:val="false"/>
          <w:smallCaps w:val="false"/>
        </w:rPr>
      </w:pPr>
      <w:bookmarkStart w:id="199" w:name="xdx_812_zyhg6FJ1f7Zk"/>
      <w:bookmarkEnd w:id="19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0" w:name="xdx_80F_eus-gaap--NatureOfOperations_znL"/>
      <w:bookmarkEnd w:id="200"/>
      <w:r>
        <w:rPr>
          <w:rFonts w:ascii="Times New Roman;Times;Serif" w:hAnsi="Times New Roman;Times;Serif"/>
          <w:b/>
          <w:i w:val="false"/>
          <w:caps w:val="false"/>
          <w:smallCaps w:val="false"/>
          <w:sz w:val="20"/>
        </w:rPr>
        <w:t xml:space="preserve">(2) </w:t>
      </w:r>
      <w:bookmarkStart w:id="201" w:name="xdx_82F_zmgqw6F1bOz"/>
      <w:bookmarkEnd w:id="201"/>
      <w:r>
        <w:rPr>
          <w:rFonts w:ascii="Times New Roman;Times;Serif" w:hAnsi="Times New Roman;Times;Serif"/>
          <w:b/>
          <w:i w:val="false"/>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Solésence, Inc. (“Solésence”, “Company”, “we”, “our”, or “us”) is a science- and technology-driven consumer health company which, along with its wholly owned subsidiary, Solésence, LLC (our “Solésence beauty science subsidiary”), is focused across beauty and health care markets.  Our skin health products are built on a platform of vertically-integrated, proprietary technologies with global patent protection, and currently comprise the majority of our business and drive our forward growth strategy.  Through working with selected customers (“clients,” “brand partners”), we offer skin health and beauty products infused with SPF protection and other key health claims as fully finished goods for sun care, skin care, color cosmetics, and scalp applications.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expertise in materials engineering enables us to create technologies that enhance protection against UV and environmental damage, quench free radicals that compromise skin health, and reduce the inflammatory response in human skin. While a few legacy products remain that are no longer considered strategic, all products, including with medical diagnostics, fall into the advanced materials product category.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target markets primarily related to beauty and consumer health where we believe our Solésence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products offer practical and competitive solutions. We work closely with customers in these target markets to identify material and performance requirements that consumers prefer.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2015 we were granted a patent on a new type of particle surface treatment (coating) — now called Active Stress Defense™ Technology — which became the cornerstone of our new product development in personal care, with first revenue recognized during 2016. Active Stress Defense™ now refers to a suite of proprietary technologies — Original Active Stress Defense™ and Kleair™ — which optimize zinc oxide, improving both its performance and aesthetics, to reimagine the consumer experience of skin health centered and SPF-infused beauty. As of 2026, our technology suite now also includes Blüm™, which reduces free radicals from HEV (blue) light; Chromalüm™, which works synergistically with the Active Stress Defense™ suite to enable state-of-the-art blue light protection and high sheer formulas; and WHSPR™, which maximizes allantoin’s soothing benefits in previously inaccessible product formats across skincare, sun care, makeup, and scalp care.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ongoing innovation efforts include new IP in areas that advance environmental protection, align with market needs, and complement our existing technologies. Through the creation of our Solésence beauty science subsidiary, we utilize our technology suite in the manufacture and sale of fully developed solutions to targeted customers in the skin care industry, typically in prestige skin care and cosmetics markets, in addition to the ingredients we have traditionally sold in the personal care area.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primary strategic focus has been the North American market, we currently sell products to customers overseas. As part of our announced strategic initiative, Transform and Transcend, we have been working to expand our reach within foreign markets.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the Company’s securities were uplisted to Nasdaq trading under the symbol SLSN. Prior to listing on Nasdaq our common stock traded on the OTCQB marketplace under the symbol NANX.</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product sales comprise the majority of our revenue, we also recognize revenue from other sources from time to time. These activities are not expected to drive the long-term growth of the business. For this reason, we classify such revenue as “other revenue” in our Consolidated Statements of Operations, as it does not represent revenue directly from the sale of our products.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 Release 33-10513; 34-83550, Amendments to Smaller Reporting Company Definition, the Company qualifies as a smaller reporting company and accordingly, it has scaled some of its disclosures of financial and non-financial information in this quarterly report. The Company will continue to determine whether to provide additional scaled disclosures of financial or non-financial information in future quarterly reports, annual reports and/or proxy statements if it remains a smaller reporting company under SEC rules. </w:t>
      </w:r>
    </w:p>
    <w:p>
      <w:pPr>
        <w:pStyle w:val="TextBody"/>
        <w:bidi w:val="0"/>
        <w:spacing w:before="0" w:after="0"/>
        <w:ind w:left="0" w:right="0" w:firstLine="720"/>
        <w:jc w:val="both"/>
        <w:rPr>
          <w:caps w:val="false"/>
          <w:smallCaps w:val="false"/>
        </w:rPr>
      </w:pPr>
      <w:bookmarkStart w:id="202" w:name="xdx_816_zlvwNH9dAiC7"/>
      <w:bookmarkEnd w:id="202"/>
      <w:r>
        <w:rPr>
          <w:caps w:val="false"/>
          <w:smallCaps w:val="false"/>
        </w:rPr>
        <w:t> </w:t>
      </w:r>
    </w:p>
    <w:p>
      <w:pPr>
        <w:pStyle w:val="TextBody"/>
        <w:bidi w:val="0"/>
        <w:spacing w:before="0" w:after="0"/>
        <w:ind w:left="0" w:right="0" w:hanging="0"/>
        <w:jc w:val="left"/>
        <w:rPr>
          <w:caps w:val="false"/>
          <w:smallCaps w:val="false"/>
        </w:rPr>
      </w:pPr>
      <w:bookmarkStart w:id="203" w:name="xdx_80B_eus-gaap--RevenueFromContractWit"/>
      <w:bookmarkEnd w:id="203"/>
      <w:r>
        <w:rPr>
          <w:caps w:val="false"/>
          <w:smallCaps w:val="false"/>
        </w:rPr>
        <w:t> </w:t>
      </w:r>
      <w:r>
        <w:rPr>
          <w:rFonts w:ascii="Times New Roman;Times;Serif" w:hAnsi="Times New Roman;Times;Serif"/>
          <w:b/>
          <w:i w:val="false"/>
          <w:caps w:val="false"/>
          <w:smallCaps w:val="false"/>
          <w:sz w:val="20"/>
        </w:rPr>
        <w:t xml:space="preserve">(3) </w:t>
      </w:r>
      <w:bookmarkStart w:id="204" w:name="xdx_824_zcJ8r8AGuHoj"/>
      <w:bookmarkEnd w:id="204"/>
      <w:r>
        <w:rPr>
          <w:rFonts w:ascii="Times New Roman;Times;Serif" w:hAnsi="Times New Roman;Times;Serif"/>
          <w:b/>
          <w:i w:val="false"/>
          <w:caps w:val="false"/>
          <w:smallCaps w:val="false"/>
          <w:sz w:val="20"/>
        </w:rPr>
        <w:t>Revenues and 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are recognized when control of the promised goods is transferred to customers, in an amount that reflects the consideration we expect to receive in exchange for those goods. When our ingredients and finished products are shipped, with control being transferred at the shipping point, this is the point in time at which we recognize the related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bookmarkStart w:id="205" w:name="xdx_230_zqlHdrHFCEWl"/>
      <w:bookmarkEnd w:id="205"/>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expense sales commissions when incurred because the amortization period would have been one year or less. These costs are recorded within selling, general and administrative expenses. Customers’ deposits, deferred revenue and other receipts are deferred and recognized when the revenue is realized and earned.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06" w:name="xdx_8BE_zspL6F8UVYTl"/>
      <w:bookmarkStart w:id="207" w:name="xdx_898_eus-gaap--ContractWithCustomerAs"/>
      <w:bookmarkEnd w:id="206"/>
      <w:bookmarkEnd w:id="207"/>
      <w:r>
        <w:rPr>
          <w:rFonts w:ascii="Times New Roman;Times;Serif" w:hAnsi="Times New Roman;Times;Serif"/>
          <w:b w:val="false"/>
          <w:i w:val="false"/>
          <w:caps w:val="false"/>
          <w:smallCaps w:val="false"/>
          <w:sz w:val="20"/>
        </w:rPr>
        <w:t>Contract balances at June 30, 2026, December 31, 2025, and December 31, 2024 are as follows:</w:t>
      </w:r>
    </w:p>
    <w:p>
      <w:pPr>
        <w:pStyle w:val="TextBody"/>
        <w:bidi w:val="0"/>
        <w:spacing w:before="0" w:after="0"/>
        <w:ind w:left="0" w:right="0" w:hanging="0"/>
        <w:jc w:val="left"/>
        <w:rPr>
          <w:caps w:val="false"/>
          <w:smallCaps w:val="false"/>
        </w:rPr>
      </w:pPr>
      <w:r>
        <w:rPr>
          <w:caps w:val="false"/>
          <w:smallCaps w:val="false"/>
        </w:rPr>
        <w:t> </w:t>
      </w:r>
    </w:p>
    <w:tbl>
      <w:tblPr>
        <w:tblW w:w="4800" w:type="dxa"/>
        <w:jc w:val="left"/>
        <w:tblInd w:w="0" w:type="dxa"/>
        <w:tblLayout w:type="fixed"/>
        <w:tblCellMar>
          <w:top w:w="0" w:type="dxa"/>
          <w:left w:w="0" w:type="dxa"/>
          <w:bottom w:w="0" w:type="dxa"/>
          <w:right w:w="0" w:type="dxa"/>
        </w:tblCellMar>
      </w:tblPr>
      <w:tblGrid>
        <w:gridCol w:w="2360"/>
        <w:gridCol w:w="60"/>
        <w:gridCol w:w="60"/>
        <w:gridCol w:w="190"/>
        <w:gridCol w:w="925"/>
        <w:gridCol w:w="60"/>
        <w:gridCol w:w="60"/>
        <w:gridCol w:w="202"/>
        <w:gridCol w:w="808"/>
        <w:gridCol w:w="75"/>
      </w:tblGrid>
      <w:tr>
        <w:trPr/>
        <w:tc>
          <w:tcPr>
            <w:tcW w:w="23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right"/>
              <w:rPr>
                <w:b/>
              </w:rPr>
            </w:pPr>
            <w:r>
              <w:rPr>
                <w:b/>
              </w:rPr>
              <w:t>Accounts</w:t>
              <w:br/>
              <w:t>Receivable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Contract</w:t>
              <w:br/>
              <w:t>Liabilities</w:t>
            </w:r>
          </w:p>
        </w:tc>
        <w:tc>
          <w:tcPr>
            <w:tcW w:w="75"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bookmarkStart w:id="208" w:name="xdx_980_eus-gaap--AccountsReceivableGros"/>
            <w:bookmarkEnd w:id="208"/>
          </w:p>
        </w:tc>
        <w:tc>
          <w:tcPr>
            <w:tcW w:w="925" w:type="dxa"/>
            <w:tcBorders/>
            <w:shd w:fill="CCEEFF" w:val="clear"/>
            <w:vAlign w:val="center"/>
          </w:tcPr>
          <w:p>
            <w:pPr>
              <w:pStyle w:val="TableContents"/>
              <w:bidi w:val="0"/>
              <w:spacing w:before="0" w:after="283"/>
              <w:jc w:val="right"/>
              <w:rPr/>
            </w:pPr>
            <w:r>
              <w:rPr/>
              <w:t>5,655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bookmarkStart w:id="209" w:name="xdx_98C_eus-gaap--ContractWithCustomerLi"/>
            <w:bookmarkEnd w:id="209"/>
          </w:p>
        </w:tc>
        <w:tc>
          <w:tcPr>
            <w:tcW w:w="808" w:type="dxa"/>
            <w:tcBorders/>
            <w:shd w:fill="CCEEFF" w:val="clear"/>
            <w:vAlign w:val="center"/>
          </w:tcPr>
          <w:p>
            <w:pPr>
              <w:pStyle w:val="TableContents"/>
              <w:bidi w:val="0"/>
              <w:spacing w:before="0" w:after="283"/>
              <w:jc w:val="right"/>
              <w:rPr/>
            </w:pPr>
            <w:r>
              <w:rPr/>
              <w:t>5,571</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bookmarkStart w:id="210" w:name="xdx_987_eus-gaap--AccountsReceivableGros"/>
            <w:bookmarkEnd w:id="210"/>
          </w:p>
        </w:tc>
        <w:tc>
          <w:tcPr>
            <w:tcW w:w="925" w:type="dxa"/>
            <w:tcBorders/>
            <w:shd w:fill="FFFFFF" w:val="clear"/>
            <w:vAlign w:val="center"/>
          </w:tcPr>
          <w:p>
            <w:pPr>
              <w:pStyle w:val="TableContents"/>
              <w:bidi w:val="0"/>
              <w:spacing w:before="0" w:after="283"/>
              <w:jc w:val="right"/>
              <w:rPr/>
            </w:pPr>
            <w:r>
              <w:rPr/>
              <w:t>7,642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bookmarkStart w:id="211" w:name="xdx_988_eus-gaap--ContractWithCustomerLi"/>
            <w:bookmarkEnd w:id="211"/>
          </w:p>
        </w:tc>
        <w:tc>
          <w:tcPr>
            <w:tcW w:w="808" w:type="dxa"/>
            <w:tcBorders/>
            <w:shd w:fill="FFFFFF" w:val="clear"/>
            <w:vAlign w:val="center"/>
          </w:tcPr>
          <w:p>
            <w:pPr>
              <w:pStyle w:val="TableContents"/>
              <w:bidi w:val="0"/>
              <w:spacing w:before="0" w:after="283"/>
              <w:jc w:val="right"/>
              <w:rPr/>
            </w:pPr>
            <w:r>
              <w:rPr/>
              <w:t>930</w:t>
            </w:r>
          </w:p>
        </w:tc>
        <w:tc>
          <w:tcPr>
            <w:tcW w:w="75"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bookmarkStart w:id="212" w:name="xdx_985_eus-gaap--AccountsReceivableGros"/>
            <w:bookmarkEnd w:id="212"/>
          </w:p>
        </w:tc>
        <w:tc>
          <w:tcPr>
            <w:tcW w:w="925" w:type="dxa"/>
            <w:tcBorders/>
            <w:shd w:fill="CCEEFF" w:val="clear"/>
            <w:vAlign w:val="center"/>
          </w:tcPr>
          <w:p>
            <w:pPr>
              <w:pStyle w:val="TableContents"/>
              <w:bidi w:val="0"/>
              <w:spacing w:before="0" w:after="283"/>
              <w:jc w:val="right"/>
              <w:rPr/>
            </w:pPr>
            <w:r>
              <w:rPr/>
              <w:t>10,240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bookmarkStart w:id="213" w:name="xdx_98F_eus-gaap--ContractWithCustomerLi"/>
            <w:bookmarkEnd w:id="213"/>
          </w:p>
        </w:tc>
        <w:tc>
          <w:tcPr>
            <w:tcW w:w="808" w:type="dxa"/>
            <w:tcBorders/>
            <w:shd w:fill="CCEEFF" w:val="clear"/>
            <w:vAlign w:val="center"/>
          </w:tcPr>
          <w:p>
            <w:pPr>
              <w:pStyle w:val="TableContents"/>
              <w:bidi w:val="0"/>
              <w:spacing w:before="0" w:after="283"/>
              <w:jc w:val="right"/>
              <w:rPr/>
            </w:pPr>
            <w:r>
              <w:rPr/>
              <w:t>1,937</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bookmarkStart w:id="214" w:name="xdx_8A3_zKVR7RJDVmEe"/>
      <w:bookmarkEnd w:id="214"/>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recognized in the reporting period that was included in the contract liability balance at the beginning of the period was </w:t>
      </w:r>
      <w:bookmarkStart w:id="215" w:name="xdx_90D_ecustom--ContractWithCustomerLia"/>
      <w:bookmarkEnd w:id="215"/>
      <w:r>
        <w:rPr>
          <w:rFonts w:ascii="Times New Roman;Times;Serif" w:hAnsi="Times New Roman;Times;Serif"/>
          <w:b w:val="false"/>
          <w:i w:val="false"/>
          <w:caps w:val="false"/>
          <w:smallCaps w:val="false"/>
          <w:sz w:val="20"/>
        </w:rPr>
        <w:t xml:space="preserve">$306 and </w:t>
      </w:r>
      <w:bookmarkStart w:id="216" w:name="xdx_90D_ecustom--ContractWithCustomerLia"/>
      <w:bookmarkEnd w:id="216"/>
      <w:r>
        <w:rPr>
          <w:rFonts w:ascii="Times New Roman;Times;Serif" w:hAnsi="Times New Roman;Times;Serif"/>
          <w:b w:val="false"/>
          <w:i w:val="false"/>
          <w:caps w:val="false"/>
          <w:smallCaps w:val="false"/>
          <w:sz w:val="20"/>
        </w:rPr>
        <w:t xml:space="preserve">$4,206 for the three months ended June 30, 2026 and 2025, respectively, and </w:t>
      </w:r>
      <w:bookmarkStart w:id="217" w:name="xdx_901_ecustom--ContractWithCustomerLia"/>
      <w:bookmarkEnd w:id="217"/>
      <w:r>
        <w:rPr>
          <w:rFonts w:ascii="Times New Roman;Times;Serif" w:hAnsi="Times New Roman;Times;Serif"/>
          <w:b w:val="false"/>
          <w:i w:val="false"/>
          <w:caps w:val="false"/>
          <w:smallCaps w:val="false"/>
          <w:sz w:val="20"/>
        </w:rPr>
        <w:t xml:space="preserve">$630 and </w:t>
      </w:r>
      <w:bookmarkStart w:id="218" w:name="xdx_908_ecustom--ContractWithCustomerLia"/>
      <w:bookmarkEnd w:id="218"/>
      <w:r>
        <w:rPr>
          <w:rFonts w:ascii="Times New Roman;Times;Serif" w:hAnsi="Times New Roman;Times;Serif"/>
          <w:b w:val="false"/>
          <w:i w:val="false"/>
          <w:caps w:val="false"/>
          <w:smallCaps w:val="false"/>
          <w:sz w:val="20"/>
        </w:rPr>
        <w:t>$7,498 for the six months ended June 30, 2026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sales process, it is common for the Company to receive customer deposits. These deposits are typically held for less than a year and do not result in a financing component to the sales. The customer deposits are recognized as revenue when the Company ships the finished goods to the customer. Revenue is recognized when the goods are shipped.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for some customers arrange for the shipping of the finished goods. Revenues and costs associated with the shipment of the finished goods are recorded separately within product revenue and cost of revenue, respectively, on the consolidated statement of operations. With regard to revenue recognition, shipping activities that occur prior to the customers’ obtaining control of the goods are not a promised service to the customer, but rather activities to fulfill the Company’s promise to transfer the goods. As such, these activities are not deemed a performance obligation requiring allocation of the transaction price. Similarly, shipping activities that occur after the customers’ obtaining control of the goods are, as a matter of policy, also not a promised service to the customer, but rather an activity to fulfill the Company’s promise to transfer the goods.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 typically includes fees that our customers pay for various required laboratory tests, and may also include revenue from technology license fees and paid development projects. Technology license fees and paid development projects are recognized over time when the obligations under the agreed upon contractual arrangements are performed on our part. Other revenue recognized over time was $</w:t>
      </w:r>
      <w:bookmarkStart w:id="219" w:name="xdx_90D_eus-gaap--RevenueFromContractWit"/>
      <w:bookmarkEnd w:id="219"/>
      <w:r>
        <w:rPr>
          <w:rFonts w:ascii="Times New Roman;Times;Serif" w:hAnsi="Times New Roman;Times;Serif"/>
          <w:b w:val="false"/>
          <w:i w:val="false"/>
          <w:caps w:val="false"/>
          <w:smallCaps w:val="false"/>
          <w:sz w:val="20"/>
        </w:rPr>
        <w:t>46 and $</w:t>
      </w:r>
      <w:bookmarkStart w:id="220" w:name="xdx_90C_eus-gaap--RevenueFromContractWit"/>
      <w:bookmarkEnd w:id="220"/>
      <w:r>
        <w:rPr>
          <w:rFonts w:ascii="Times New Roman;Times;Serif" w:hAnsi="Times New Roman;Times;Serif"/>
          <w:b w:val="false"/>
          <w:i w:val="false"/>
          <w:caps w:val="false"/>
          <w:smallCaps w:val="false"/>
          <w:sz w:val="20"/>
        </w:rPr>
        <w:t>98 for the three months ended June 30, 2026 and 2025, respectively, and $</w:t>
      </w:r>
      <w:bookmarkStart w:id="221" w:name="xdx_90F_eus-gaap--RevenueFromContractWit"/>
      <w:bookmarkEnd w:id="221"/>
      <w:r>
        <w:rPr>
          <w:rFonts w:ascii="Times New Roman;Times;Serif" w:hAnsi="Times New Roman;Times;Serif"/>
          <w:b w:val="false"/>
          <w:i w:val="false"/>
          <w:caps w:val="false"/>
          <w:smallCaps w:val="false"/>
          <w:sz w:val="20"/>
        </w:rPr>
        <w:t>85 and $</w:t>
      </w:r>
      <w:bookmarkStart w:id="222" w:name="xdx_909_eus-gaap--RevenueFromContractWit"/>
      <w:bookmarkEnd w:id="222"/>
      <w:r>
        <w:rPr>
          <w:rFonts w:ascii="Times New Roman;Times;Serif" w:hAnsi="Times New Roman;Times;Serif"/>
          <w:b w:val="false"/>
          <w:i w:val="false"/>
          <w:caps w:val="false"/>
          <w:smallCaps w:val="false"/>
          <w:sz w:val="20"/>
        </w:rPr>
        <w:t>148 for the six months ended June 30, 2026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bookmarkStart w:id="223" w:name="xdx_89E_eus-gaap--AccountsReceivableAllo"/>
      <w:bookmarkEnd w:id="223"/>
      <w:r>
        <w:rPr>
          <w:rFonts w:ascii="Times New Roman;Times;Serif" w:hAnsi="Times New Roman;Times;Serif"/>
          <w:b w:val="false"/>
          <w:i w:val="false"/>
          <w:caps w:val="false"/>
          <w:smallCaps w:val="false"/>
          <w:sz w:val="20"/>
        </w:rPr>
        <w:t xml:space="preserve">Accounts receivable are carried at the original invoice amount, less an allowance for expected credit losses. We estimate the allowance for credit losses based on a review of outstanding receivables, including the age of the receivables, historical collection experience, specific customer collectability considerations, current conditions, and other relevant factors. In estimating expected credit losses for current trade receivables arising from contracts with customers, we have elected the practical expedient under ASU 2025-05 and assume that current conditions as of the balance sheet date do not change over the remaining life of the receivables. </w:t>
      </w:r>
      <w:bookmarkStart w:id="224" w:name="xdx_8B5_zapM3R6SYAMk"/>
      <w:bookmarkEnd w:id="224"/>
      <w:r>
        <w:rPr>
          <w:rFonts w:ascii="Times New Roman;Times;Serif" w:hAnsi="Times New Roman;Times;Serif"/>
          <w:b w:val="false"/>
          <w:i w:val="false"/>
          <w:caps w:val="false"/>
          <w:smallCaps w:val="false"/>
          <w:sz w:val="20"/>
        </w:rPr>
        <w:t>Receivables are written off when deemed uncollectible. Recoveries of trade accounts receivable previously written off are recorded when received. Our typical credit terms are between thirty and sixty days from shipment and invoicing.</w:t>
      </w:r>
    </w:p>
    <w:p>
      <w:pPr>
        <w:pStyle w:val="TextBody"/>
        <w:bidi w:val="0"/>
        <w:spacing w:before="0" w:after="0"/>
        <w:ind w:left="0" w:right="0" w:firstLine="720"/>
        <w:jc w:val="left"/>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2450"/>
        <w:gridCol w:w="60"/>
        <w:gridCol w:w="251"/>
        <w:gridCol w:w="683"/>
        <w:gridCol w:w="95"/>
        <w:gridCol w:w="60"/>
        <w:gridCol w:w="332"/>
        <w:gridCol w:w="1082"/>
        <w:gridCol w:w="795"/>
      </w:tblGrid>
      <w:tr>
        <w:trPr/>
        <w:tc>
          <w:tcPr>
            <w:tcW w:w="24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25" w:name="xdx_497_20260101__20260630_znnFY2AzP8l4"/>
            <w:bookmarkEnd w:id="225"/>
          </w:p>
        </w:tc>
        <w:tc>
          <w:tcPr>
            <w:tcW w:w="934" w:type="dxa"/>
            <w:gridSpan w:val="2"/>
            <w:tcBorders/>
            <w:vAlign w:val="center"/>
          </w:tcPr>
          <w:p>
            <w:pPr>
              <w:pStyle w:val="TableContents"/>
              <w:bidi w:val="0"/>
              <w:spacing w:before="0" w:after="283"/>
              <w:jc w:val="center"/>
              <w:rPr>
                <w:b/>
              </w:rPr>
            </w:pPr>
            <w:r>
              <w:rPr>
                <w:b/>
              </w:rPr>
              <w:t xml:space="preserve">June 30,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6" w:name="xdx_49B_20250101__20251231_ziHn0AWYYhek"/>
            <w:bookmarkEnd w:id="226"/>
          </w:p>
        </w:tc>
        <w:tc>
          <w:tcPr>
            <w:tcW w:w="1414" w:type="dxa"/>
            <w:gridSpan w:val="2"/>
            <w:tcBorders/>
            <w:vAlign w:val="center"/>
          </w:tcPr>
          <w:p>
            <w:pPr>
              <w:pStyle w:val="TableContents"/>
              <w:bidi w:val="0"/>
              <w:spacing w:before="0" w:after="283"/>
              <w:jc w:val="center"/>
              <w:rPr>
                <w:b/>
              </w:rPr>
            </w:pPr>
            <w:r>
              <w:rPr>
                <w:b/>
              </w:rPr>
              <w:t>December 31,</w:t>
              <w:br/>
              <w:t>2025</w:t>
            </w:r>
          </w:p>
        </w:tc>
        <w:tc>
          <w:tcPr>
            <w:tcW w:w="795" w:type="dxa"/>
            <w:tcBorders/>
            <w:vAlign w:val="center"/>
          </w:tcPr>
          <w:p>
            <w:pPr>
              <w:pStyle w:val="TableContents"/>
              <w:bidi w:val="0"/>
              <w:spacing w:before="0" w:after="283"/>
              <w:ind w:left="0" w:right="0" w:firstLine="720"/>
              <w:jc w:val="left"/>
              <w:rPr/>
            </w:pPr>
            <w:r>
              <w:rPr/>
              <w:t> </w:t>
            </w:r>
            <w:bookmarkStart w:id="227" w:name="xdx_404_eus-gaap--AllowanceForDoubtfulAc"/>
            <w:bookmarkEnd w:id="227"/>
          </w:p>
        </w:tc>
      </w:tr>
      <w:tr>
        <w:trPr/>
        <w:tc>
          <w:tcPr>
            <w:tcW w:w="2450" w:type="dxa"/>
            <w:tcBorders/>
            <w:shd w:fill="CCEEFF" w:val="clear"/>
            <w:vAlign w:val="center"/>
          </w:tcPr>
          <w:p>
            <w:pPr>
              <w:pStyle w:val="TableContents"/>
              <w:bidi w:val="0"/>
              <w:spacing w:before="0" w:after="283"/>
              <w:jc w:val="both"/>
              <w:rPr/>
            </w:pPr>
            <w:r>
              <w:rPr/>
              <w:t>Balance, beginning</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082" w:type="dxa"/>
            <w:tcBorders/>
            <w:shd w:fill="CCEEFF" w:val="clear"/>
            <w:vAlign w:val="center"/>
          </w:tcPr>
          <w:p>
            <w:pPr>
              <w:pStyle w:val="TableContents"/>
              <w:bidi w:val="0"/>
              <w:spacing w:before="0" w:after="283"/>
              <w:jc w:val="right"/>
              <w:rPr/>
            </w:pPr>
            <w:r>
              <w:rPr/>
              <w:t>786</w:t>
            </w:r>
          </w:p>
        </w:tc>
        <w:tc>
          <w:tcPr>
            <w:tcW w:w="795" w:type="dxa"/>
            <w:tcBorders/>
            <w:shd w:fill="CCEEFF" w:val="clear"/>
            <w:vAlign w:val="center"/>
          </w:tcPr>
          <w:p>
            <w:pPr>
              <w:pStyle w:val="TableContents"/>
              <w:bidi w:val="0"/>
              <w:spacing w:before="0" w:after="283"/>
              <w:ind w:left="0" w:right="0" w:firstLine="720"/>
              <w:jc w:val="left"/>
              <w:rPr/>
            </w:pPr>
            <w:r>
              <w:rPr/>
              <w:t> </w:t>
            </w:r>
            <w:bookmarkStart w:id="228" w:name="xdx_407_eus-gaap--ProvisionForDoubtfulAc"/>
            <w:bookmarkEnd w:id="228"/>
          </w:p>
        </w:tc>
      </w:tr>
      <w:tr>
        <w:trPr/>
        <w:tc>
          <w:tcPr>
            <w:tcW w:w="2450" w:type="dxa"/>
            <w:tcBorders/>
            <w:shd w:fill="FFFFFF" w:val="clear"/>
            <w:vAlign w:val="center"/>
          </w:tcPr>
          <w:p>
            <w:pPr>
              <w:pStyle w:val="TableContents"/>
              <w:bidi w:val="0"/>
              <w:spacing w:before="0" w:after="283"/>
              <w:jc w:val="both"/>
              <w:rPr/>
            </w:pPr>
            <w:r>
              <w:rPr/>
              <w:t>Current period provisions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836</w:t>
            </w:r>
          </w:p>
        </w:tc>
        <w:tc>
          <w:tcPr>
            <w:tcW w:w="795" w:type="dxa"/>
            <w:tcBorders/>
            <w:shd w:fill="FFFFFF" w:val="clear"/>
            <w:vAlign w:val="center"/>
          </w:tcPr>
          <w:p>
            <w:pPr>
              <w:pStyle w:val="TableContents"/>
              <w:bidi w:val="0"/>
              <w:spacing w:before="0" w:after="283"/>
              <w:ind w:left="0" w:right="0" w:firstLine="720"/>
              <w:jc w:val="left"/>
              <w:rPr/>
            </w:pPr>
            <w:r>
              <w:rPr/>
              <w:t> </w:t>
            </w:r>
            <w:bookmarkStart w:id="229" w:name="xdx_40A_eus-gaap--AllowanceForDoubtfulAc"/>
            <w:bookmarkEnd w:id="229"/>
          </w:p>
        </w:tc>
      </w:tr>
      <w:tr>
        <w:trPr/>
        <w:tc>
          <w:tcPr>
            <w:tcW w:w="2450" w:type="dxa"/>
            <w:tcBorders/>
            <w:shd w:fill="CCEEFF" w:val="clear"/>
            <w:vAlign w:val="center"/>
          </w:tcPr>
          <w:p>
            <w:pPr>
              <w:pStyle w:val="TableContents"/>
              <w:bidi w:val="0"/>
              <w:spacing w:before="0" w:after="283"/>
              <w:jc w:val="both"/>
              <w:rPr/>
            </w:pPr>
            <w:r>
              <w:rPr/>
              <w:t>Write offs</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3" w:type="dxa"/>
            <w:tcBorders>
              <w:bottom w:val="single" w:sz="8" w:space="0" w:color="000000"/>
            </w:tcBorders>
            <w:shd w:fill="CCEEFF" w:val="clear"/>
            <w:tcMar>
              <w:bottom w:w="28" w:type="dxa"/>
            </w:tcMar>
            <w:vAlign w:val="center"/>
          </w:tcPr>
          <w:p>
            <w:pPr>
              <w:pStyle w:val="TableContents"/>
              <w:bidi w:val="0"/>
              <w:spacing w:before="0" w:after="283"/>
              <w:jc w:val="right"/>
              <w:rPr/>
            </w:pPr>
            <w:r>
              <w:rPr/>
              <w:t>(27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pPr>
            <w:r>
              <w:rPr/>
              <w:t>(816</w:t>
            </w:r>
          </w:p>
        </w:tc>
        <w:tc>
          <w:tcPr>
            <w:tcW w:w="795" w:type="dxa"/>
            <w:tcBorders/>
            <w:shd w:fill="CCEEFF" w:val="clear"/>
            <w:vAlign w:val="center"/>
          </w:tcPr>
          <w:p>
            <w:pPr>
              <w:pStyle w:val="TableContents"/>
              <w:bidi w:val="0"/>
              <w:spacing w:before="0" w:after="283"/>
              <w:jc w:val="left"/>
              <w:rPr/>
            </w:pPr>
            <w:r>
              <w:rPr/>
              <w:t>)</w:t>
            </w:r>
            <w:bookmarkStart w:id="230" w:name="xdx_403_eus-gaap--AllowanceForDoubtfulAc"/>
            <w:bookmarkEnd w:id="230"/>
          </w:p>
        </w:tc>
      </w:tr>
      <w:tr>
        <w:trPr/>
        <w:tc>
          <w:tcPr>
            <w:tcW w:w="2450" w:type="dxa"/>
            <w:tcBorders/>
            <w:shd w:fill="FFFFFF" w:val="clear"/>
            <w:vAlign w:val="center"/>
          </w:tcPr>
          <w:p>
            <w:pPr>
              <w:pStyle w:val="TableContents"/>
              <w:bidi w:val="0"/>
              <w:spacing w:before="0" w:after="283"/>
              <w:jc w:val="left"/>
              <w:rPr/>
            </w:pPr>
            <w:r>
              <w:rPr/>
              <w:t>Balance, ending</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3" w:type="dxa"/>
            <w:tcBorders>
              <w:bottom w:val="double" w:sz="6" w:space="0" w:color="000000"/>
            </w:tcBorders>
            <w:shd w:fill="FFFFFF" w:val="clear"/>
            <w:tcMar>
              <w:bottom w:w="28" w:type="dxa"/>
            </w:tcMar>
            <w:vAlign w:val="center"/>
          </w:tcPr>
          <w:p>
            <w:pPr>
              <w:pStyle w:val="TableContents"/>
              <w:bidi w:val="0"/>
              <w:spacing w:before="0" w:after="283"/>
              <w:jc w:val="right"/>
              <w:rPr/>
            </w:pPr>
            <w:r>
              <w:rPr/>
              <w:t>895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2" w:type="dxa"/>
            <w:tcBorders>
              <w:bottom w:val="double" w:sz="6" w:space="0" w:color="000000"/>
            </w:tcBorders>
            <w:shd w:fill="FFFFFF" w:val="clear"/>
            <w:tcMar>
              <w:bottom w:w="28" w:type="dxa"/>
            </w:tcMar>
            <w:vAlign w:val="center"/>
          </w:tcPr>
          <w:p>
            <w:pPr>
              <w:pStyle w:val="TableContents"/>
              <w:bidi w:val="0"/>
              <w:spacing w:before="0" w:after="283"/>
              <w:jc w:val="right"/>
              <w:rPr/>
            </w:pPr>
            <w:r>
              <w:rPr/>
              <w:t>806</w:t>
            </w:r>
          </w:p>
        </w:tc>
        <w:tc>
          <w:tcPr>
            <w:tcW w:w="7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31" w:name="xdx_8A3_zYmX531xwqce"/>
      <w:bookmarkEnd w:id="231"/>
      <w:r>
        <w:rPr>
          <w:caps w:val="false"/>
          <w:smallCaps w:val="false"/>
        </w:rPr>
        <w:t> </w:t>
      </w:r>
    </w:p>
    <w:p>
      <w:pPr>
        <w:pStyle w:val="TextBody"/>
        <w:bidi w:val="0"/>
        <w:spacing w:before="0" w:after="0"/>
        <w:ind w:left="0" w:right="0" w:hanging="0"/>
        <w:jc w:val="left"/>
        <w:rPr>
          <w:caps w:val="false"/>
          <w:smallCaps w:val="false"/>
        </w:rPr>
      </w:pPr>
      <w:bookmarkStart w:id="232" w:name="xdx_819_zLsGtt0Z3dZa"/>
      <w:bookmarkEnd w:id="232"/>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3" w:name="xdx_802_eus-gaap--EarningsPerShareTextBl"/>
      <w:bookmarkEnd w:id="233"/>
      <w:r>
        <w:rPr>
          <w:rFonts w:ascii="Times New Roman;Times;Serif" w:hAnsi="Times New Roman;Times;Serif"/>
          <w:b/>
          <w:i w:val="false"/>
          <w:caps w:val="false"/>
          <w:smallCaps w:val="false"/>
          <w:sz w:val="20"/>
        </w:rPr>
        <w:t xml:space="preserve">(4) </w:t>
      </w:r>
      <w:bookmarkStart w:id="234" w:name="xdx_820_zOIwoTgAeG9a"/>
      <w:bookmarkEnd w:id="234"/>
      <w:r>
        <w:rPr>
          <w:rFonts w:ascii="Times New Roman;Times;Serif" w:hAnsi="Times New Roman;Times;Serif"/>
          <w:b/>
          <w:i w:val="false"/>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Options to purchase </w:t>
      </w:r>
      <w:bookmarkStart w:id="235" w:name="xdx_90D_eus-gaap--WeightedAverageNumberD"/>
      <w:bookmarkEnd w:id="235"/>
      <w:r>
        <w:rPr>
          <w:rFonts w:ascii="Times New Roman;Times;Serif" w:hAnsi="Times New Roman;Times;Serif"/>
          <w:b w:val="false"/>
          <w:i w:val="false"/>
          <w:caps w:val="false"/>
          <w:smallCaps w:val="false"/>
          <w:sz w:val="20"/>
        </w:rPr>
        <w:t xml:space="preserve">1,074,074 and </w:t>
      </w:r>
      <w:bookmarkStart w:id="236" w:name="xdx_900_eus-gaap--WeightedAverageNumberD"/>
      <w:bookmarkEnd w:id="236"/>
      <w:r>
        <w:rPr>
          <w:rFonts w:ascii="Times New Roman;Times;Serif" w:hAnsi="Times New Roman;Times;Serif"/>
          <w:b w:val="false"/>
          <w:i w:val="false"/>
          <w:caps w:val="false"/>
          <w:smallCaps w:val="false"/>
          <w:sz w:val="20"/>
        </w:rPr>
        <w:t xml:space="preserve">1,082,666 shares of common stock that were outstanding as of June 30, 2026 were included in the computation of diluted earnings per share for the three and six months ended June 30, 2026, respectively. Options to purchase approximately </w:t>
      </w:r>
      <w:bookmarkStart w:id="237" w:name="xdx_90E_eus-gaap--WeightedAverageNumberD"/>
      <w:bookmarkEnd w:id="237"/>
      <w:r>
        <w:rPr>
          <w:rFonts w:ascii="Times New Roman;Times;Serif" w:hAnsi="Times New Roman;Times;Serif"/>
          <w:b w:val="false"/>
          <w:i w:val="false"/>
          <w:caps w:val="false"/>
          <w:smallCaps w:val="false"/>
          <w:sz w:val="20"/>
        </w:rPr>
        <w:t xml:space="preserve">2,348,780 and </w:t>
      </w:r>
      <w:bookmarkStart w:id="238" w:name="xdx_900_eus-gaap--WeightedAverageNumberD"/>
      <w:bookmarkEnd w:id="238"/>
      <w:r>
        <w:rPr>
          <w:rFonts w:ascii="Times New Roman;Times;Serif" w:hAnsi="Times New Roman;Times;Serif"/>
          <w:b w:val="false"/>
          <w:i w:val="false"/>
          <w:caps w:val="false"/>
          <w:smallCaps w:val="false"/>
          <w:sz w:val="20"/>
        </w:rPr>
        <w:t>2,345,901 shares of common stock that were outstanding as of June 30, 2025 were included in the computation of diluted earnings per share for the three and six months ended June 30,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bookmarkStart w:id="239" w:name="xdx_236_z7dRMBIBDcZ3"/>
      <w:bookmarkEnd w:id="239"/>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bookmarkStart w:id="240" w:name="xdx_8BB_zXTubh2mIGXc"/>
      <w:bookmarkStart w:id="241" w:name="xdx_890_eus-gaap--ScheduleOfEarningsPerS"/>
      <w:bookmarkEnd w:id="240"/>
      <w:bookmarkEnd w:id="241"/>
      <w:r>
        <w:rPr>
          <w:rFonts w:ascii="Times New Roman;Times;Serif" w:hAnsi="Times New Roman;Times;Serif"/>
          <w:b w:val="false"/>
          <w:i w:val="false"/>
          <w:caps w:val="false"/>
          <w:smallCaps w:val="false"/>
          <w:sz w:val="20"/>
        </w:rPr>
        <w:t>Earnings applicable to common stock and common stock shares used in the calculation of basic and diluted earnings per share are as follows:</w:t>
      </w:r>
    </w:p>
    <w:tbl>
      <w:tblPr>
        <w:tblW w:w="10205" w:type="dxa"/>
        <w:jc w:val="left"/>
        <w:tblInd w:w="0" w:type="dxa"/>
        <w:tblLayout w:type="fixed"/>
        <w:tblCellMar>
          <w:top w:w="0" w:type="dxa"/>
          <w:left w:w="0" w:type="dxa"/>
          <w:bottom w:w="0" w:type="dxa"/>
          <w:right w:w="0" w:type="dxa"/>
        </w:tblCellMar>
      </w:tblPr>
      <w:tblGrid>
        <w:gridCol w:w="5183"/>
        <w:gridCol w:w="60"/>
        <w:gridCol w:w="126"/>
        <w:gridCol w:w="964"/>
        <w:gridCol w:w="157"/>
        <w:gridCol w:w="60"/>
        <w:gridCol w:w="126"/>
        <w:gridCol w:w="964"/>
        <w:gridCol w:w="60"/>
        <w:gridCol w:w="60"/>
        <w:gridCol w:w="125"/>
        <w:gridCol w:w="950"/>
        <w:gridCol w:w="155"/>
        <w:gridCol w:w="60"/>
        <w:gridCol w:w="125"/>
        <w:gridCol w:w="950"/>
        <w:gridCol w:w="80"/>
      </w:tblGrid>
      <w:tr>
        <w:trPr/>
        <w:tc>
          <w:tcPr>
            <w:tcW w:w="518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26" w:type="dxa"/>
            <w:tcBorders>
              <w:bottom w:val="single" w:sz="8" w:space="0" w:color="000000"/>
            </w:tcBorders>
            <w:tcMar>
              <w:bottom w:w="28" w:type="dxa"/>
            </w:tcMar>
            <w:vAlign w:val="center"/>
          </w:tcPr>
          <w:p>
            <w:pPr>
              <w:pStyle w:val="TableContents"/>
              <w:bidi w:val="0"/>
              <w:spacing w:before="0" w:after="283"/>
              <w:jc w:val="center"/>
              <w:rPr/>
            </w:pPr>
            <w:r>
              <w:rPr/>
              <w:t> </w:t>
            </w:r>
            <w:bookmarkStart w:id="242" w:name="xdx_493_20260401__20260630_zN7nk3Uyawcc"/>
            <w:bookmarkEnd w:id="242"/>
          </w:p>
        </w:tc>
        <w:tc>
          <w:tcPr>
            <w:tcW w:w="964" w:type="dxa"/>
            <w:tcBorders>
              <w:bottom w:val="single" w:sz="8" w:space="0" w:color="000000"/>
            </w:tcBorders>
            <w:tcMar>
              <w:bottom w:w="28" w:type="dxa"/>
            </w:tcMar>
            <w:vAlign w:val="center"/>
          </w:tcPr>
          <w:p>
            <w:pPr>
              <w:pStyle w:val="TableContents"/>
              <w:bidi w:val="0"/>
              <w:spacing w:before="0" w:after="283"/>
              <w:jc w:val="center"/>
              <w:rPr/>
            </w:pPr>
            <w:r>
              <w:rPr/>
              <w:t> </w:t>
            </w:r>
          </w:p>
        </w:tc>
        <w:tc>
          <w:tcPr>
            <w:tcW w:w="157"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26" w:type="dxa"/>
            <w:tcBorders>
              <w:bottom w:val="single" w:sz="8" w:space="0" w:color="000000"/>
            </w:tcBorders>
            <w:tcMar>
              <w:bottom w:w="28" w:type="dxa"/>
            </w:tcMar>
            <w:vAlign w:val="center"/>
          </w:tcPr>
          <w:p>
            <w:pPr>
              <w:pStyle w:val="TableContents"/>
              <w:bidi w:val="0"/>
              <w:spacing w:before="0" w:after="283"/>
              <w:jc w:val="center"/>
              <w:rPr/>
            </w:pPr>
            <w:r>
              <w:rPr/>
              <w:t> </w:t>
            </w:r>
            <w:bookmarkStart w:id="243" w:name="xdx_498_20250401__20250630_zMNXsKUKBL8e"/>
            <w:bookmarkEnd w:id="243"/>
          </w:p>
        </w:tc>
        <w:tc>
          <w:tcPr>
            <w:tcW w:w="964"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bookmarkStart w:id="244" w:name="xdx_49A_20260101__20260630_zyx8ba75d7B8"/>
            <w:bookmarkEnd w:id="244"/>
          </w:p>
        </w:tc>
        <w:tc>
          <w:tcPr>
            <w:tcW w:w="95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55"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bookmarkStart w:id="245" w:name="xdx_492_20250101__20250630_zYodREUvsU5g"/>
            <w:bookmarkEnd w:id="245"/>
          </w:p>
        </w:tc>
        <w:tc>
          <w:tcPr>
            <w:tcW w:w="950" w:type="dxa"/>
            <w:tcBorders>
              <w:bottom w:val="single" w:sz="8" w:space="0" w:color="000000"/>
            </w:tcBorders>
            <w:tcMar>
              <w:bottom w:w="28" w:type="dxa"/>
            </w:tcMar>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ind w:left="0" w:right="0" w:hanging="180"/>
              <w:jc w:val="left"/>
              <w:rPr/>
            </w:pPr>
            <w:r>
              <w:rPr/>
              <w:t> </w:t>
            </w:r>
          </w:p>
        </w:tc>
      </w:tr>
      <w:tr>
        <w:trPr/>
        <w:tc>
          <w:tcPr>
            <w:tcW w:w="51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June 30,</w:t>
            </w:r>
          </w:p>
        </w:tc>
        <w:tc>
          <w:tcPr>
            <w:tcW w:w="80" w:type="dxa"/>
            <w:tcBorders/>
            <w:vAlign w:val="center"/>
          </w:tcPr>
          <w:p>
            <w:pPr>
              <w:pStyle w:val="TableContents"/>
              <w:bidi w:val="0"/>
              <w:spacing w:before="0" w:after="283"/>
              <w:ind w:left="0" w:right="0" w:hanging="180"/>
              <w:jc w:val="left"/>
              <w:rPr/>
            </w:pPr>
            <w:r>
              <w:rPr/>
              <w:t> </w:t>
            </w:r>
          </w:p>
        </w:tc>
      </w:tr>
      <w:tr>
        <w:trPr/>
        <w:tc>
          <w:tcPr>
            <w:tcW w:w="51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ind w:left="0" w:right="0" w:hanging="180"/>
              <w:jc w:val="left"/>
              <w:rPr/>
            </w:pPr>
            <w:r>
              <w:rPr/>
              <w:t> </w:t>
            </w:r>
          </w:p>
        </w:tc>
      </w:tr>
      <w:tr>
        <w:trPr/>
        <w:tc>
          <w:tcPr>
            <w:tcW w:w="51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ind w:left="0" w:right="0" w:hanging="180"/>
              <w:jc w:val="left"/>
              <w:rPr/>
            </w:pPr>
            <w:r>
              <w:rPr/>
              <w:t> </w:t>
            </w:r>
            <w:bookmarkStart w:id="246" w:name="xdx_406_eus-gaap--NetIncomeLossAvailable"/>
            <w:bookmarkEnd w:id="246"/>
          </w:p>
        </w:tc>
      </w:tr>
      <w:tr>
        <w:trPr/>
        <w:tc>
          <w:tcPr>
            <w:tcW w:w="5183"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Numerator: (in Thousands)</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ind w:left="0" w:right="0" w:hanging="180"/>
              <w:jc w:val="left"/>
              <w:rPr/>
            </w:pPr>
            <w:r>
              <w:rPr/>
              <w:t> </w:t>
            </w:r>
            <w:bookmarkStart w:id="247" w:name="xdx_40A_eus-gaap--NetIncomeLoss_i01_pn3n"/>
            <w:bookmarkEnd w:id="247"/>
          </w:p>
        </w:tc>
      </w:tr>
      <w:tr>
        <w:trPr/>
        <w:tc>
          <w:tcPr>
            <w:tcW w:w="51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(loss)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p>
        </w:tc>
        <w:tc>
          <w:tcPr>
            <w:tcW w:w="1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6" w:space="0" w:color="000000"/>
            </w:tcBorders>
            <w:shd w:fill="CCEEFF" w:val="clear"/>
            <w:tcMar>
              <w:bottom w:w="28" w:type="dxa"/>
            </w:tcMar>
            <w:vAlign w:val="center"/>
          </w:tcPr>
          <w:p>
            <w:pPr>
              <w:pStyle w:val="TableContents"/>
              <w:bidi w:val="0"/>
              <w:spacing w:before="0" w:after="283"/>
              <w:jc w:val="right"/>
              <w:rPr/>
            </w:pPr>
            <w:r>
              <w:rPr/>
              <w:t>3,233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pPr>
            <w:r>
              <w:rPr/>
              <w:t>(1,120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pPr>
            <w:r>
              <w:rPr/>
              <w:t>3,577</w:t>
            </w:r>
          </w:p>
        </w:tc>
        <w:tc>
          <w:tcPr>
            <w:tcW w:w="80" w:type="dxa"/>
            <w:tcBorders/>
            <w:vAlign w:val="center"/>
          </w:tcPr>
          <w:p>
            <w:pPr>
              <w:pStyle w:val="TableContents"/>
              <w:bidi w:val="0"/>
              <w:spacing w:before="0" w:after="283"/>
              <w:ind w:left="0" w:right="0" w:hanging="180"/>
              <w:jc w:val="left"/>
              <w:rPr/>
            </w:pPr>
            <w:r>
              <w:rPr/>
              <w:t> </w:t>
            </w:r>
          </w:p>
        </w:tc>
      </w:tr>
      <w:tr>
        <w:trPr/>
        <w:tc>
          <w:tcPr>
            <w:tcW w:w="51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ind w:left="0" w:right="0" w:hanging="180"/>
              <w:jc w:val="left"/>
              <w:rPr/>
            </w:pPr>
            <w:r>
              <w:rPr/>
              <w:t> </w:t>
            </w:r>
            <w:bookmarkStart w:id="248" w:name="xdx_40E_eus-gaap--WeightedAverageNumberO"/>
            <w:bookmarkEnd w:id="248"/>
          </w:p>
        </w:tc>
      </w:tr>
      <w:tr>
        <w:trPr/>
        <w:tc>
          <w:tcPr>
            <w:tcW w:w="5183" w:type="dxa"/>
            <w:tcBorders/>
            <w:shd w:fill="CCEE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Denominator:</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ind w:left="0" w:right="0" w:hanging="180"/>
              <w:jc w:val="left"/>
              <w:rPr/>
            </w:pPr>
            <w:r>
              <w:rPr/>
              <w:t> </w:t>
            </w:r>
            <w:bookmarkStart w:id="249" w:name="xdx_404_eus-gaap--WeightedAverageNumberO"/>
            <w:bookmarkEnd w:id="249"/>
          </w:p>
        </w:tc>
      </w:tr>
      <w:tr>
        <w:trPr/>
        <w:tc>
          <w:tcPr>
            <w:tcW w:w="51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number of basic shares outstanding</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70,637,199</w:t>
            </w:r>
          </w:p>
        </w:tc>
        <w:tc>
          <w:tcPr>
            <w:tcW w:w="1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70,200,039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70,631,380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70,151,928</w:t>
            </w:r>
          </w:p>
        </w:tc>
        <w:tc>
          <w:tcPr>
            <w:tcW w:w="80" w:type="dxa"/>
            <w:tcBorders/>
            <w:vAlign w:val="center"/>
          </w:tcPr>
          <w:p>
            <w:pPr>
              <w:pStyle w:val="TableContents"/>
              <w:bidi w:val="0"/>
              <w:spacing w:before="0" w:after="283"/>
              <w:ind w:left="0" w:right="0" w:hanging="180"/>
              <w:jc w:val="left"/>
              <w:rPr/>
            </w:pPr>
            <w:r>
              <w:rPr/>
              <w:t> </w:t>
            </w:r>
            <w:bookmarkStart w:id="250" w:name="xdx_402_eus-gaap--IncrementalCommonShare"/>
            <w:bookmarkEnd w:id="250"/>
          </w:p>
        </w:tc>
      </w:tr>
      <w:tr>
        <w:trPr/>
        <w:tc>
          <w:tcPr>
            <w:tcW w:w="51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additional shares assuming conversion of in-the-money stock options to common shares and assumed repurchase of common shares by the Company</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2,380,640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2,346,001</w:t>
            </w:r>
          </w:p>
        </w:tc>
        <w:tc>
          <w:tcPr>
            <w:tcW w:w="80" w:type="dxa"/>
            <w:tcBorders/>
            <w:vAlign w:val="center"/>
          </w:tcPr>
          <w:p>
            <w:pPr>
              <w:pStyle w:val="TableContents"/>
              <w:bidi w:val="0"/>
              <w:spacing w:before="0" w:after="283"/>
              <w:ind w:left="0" w:right="0" w:hanging="180"/>
              <w:jc w:val="left"/>
              <w:rPr/>
            </w:pPr>
            <w:r>
              <w:rPr/>
              <w:t> </w:t>
            </w:r>
            <w:bookmarkStart w:id="251" w:name="xdx_406_eus-gaap--WeightedAverageNumberO"/>
            <w:bookmarkEnd w:id="251"/>
          </w:p>
        </w:tc>
      </w:tr>
      <w:tr>
        <w:trPr/>
        <w:tc>
          <w:tcPr>
            <w:tcW w:w="51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number of diluted common shares outstanding</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70,637,199</w:t>
            </w:r>
          </w:p>
        </w:tc>
        <w:tc>
          <w:tcPr>
            <w:tcW w:w="1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72,580,679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70,631,380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72,497,929</w:t>
            </w:r>
          </w:p>
        </w:tc>
        <w:tc>
          <w:tcPr>
            <w:tcW w:w="80" w:type="dxa"/>
            <w:tcBorders/>
            <w:vAlign w:val="center"/>
          </w:tcPr>
          <w:p>
            <w:pPr>
              <w:pStyle w:val="TableContents"/>
              <w:bidi w:val="0"/>
              <w:spacing w:before="0" w:after="283"/>
              <w:ind w:left="0" w:right="0" w:hanging="180"/>
              <w:jc w:val="left"/>
              <w:rPr/>
            </w:pPr>
            <w:r>
              <w:rPr/>
              <w:t> </w:t>
            </w:r>
          </w:p>
        </w:tc>
      </w:tr>
      <w:tr>
        <w:trPr/>
        <w:tc>
          <w:tcPr>
            <w:tcW w:w="51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ind w:left="0" w:right="0" w:hanging="180"/>
              <w:jc w:val="left"/>
              <w:rPr/>
            </w:pPr>
            <w:r>
              <w:rPr/>
              <w:t> </w:t>
            </w:r>
            <w:bookmarkStart w:id="252" w:name="xdx_40D_eus-gaap--EarningsPerShareBasicA"/>
            <w:bookmarkEnd w:id="252"/>
          </w:p>
        </w:tc>
      </w:tr>
      <w:tr>
        <w:trPr/>
        <w:tc>
          <w:tcPr>
            <w:tcW w:w="5183" w:type="dxa"/>
            <w:tcBorders/>
            <w:shd w:fill="FFFF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Basic earnings per common share:</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ind w:left="0" w:right="0" w:hanging="180"/>
              <w:jc w:val="left"/>
              <w:rPr/>
            </w:pPr>
            <w:r>
              <w:rPr/>
              <w:t> </w:t>
            </w:r>
          </w:p>
        </w:tc>
      </w:tr>
      <w:tr>
        <w:trPr/>
        <w:tc>
          <w:tcPr>
            <w:tcW w:w="51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(loss) per share – basic</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3" w:name="xdx_986_eus-gaap--EarningsPerShareBasic_"/>
            <w:bookmarkEnd w:id="253"/>
          </w:p>
        </w:tc>
        <w:tc>
          <w:tcPr>
            <w:tcW w:w="9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1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4" w:name="xdx_982_eus-gaap--EarningsPerShareBasic_"/>
            <w:bookmarkEnd w:id="254"/>
          </w:p>
        </w:tc>
        <w:tc>
          <w:tcPr>
            <w:tcW w:w="9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5" w:name="xdx_986_eus-gaap--EarningsPerShareBasic_"/>
            <w:bookmarkEnd w:id="255"/>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6" w:name="xdx_98B_eus-gaap--EarningsPerShareBasic_"/>
            <w:bookmarkEnd w:id="256"/>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0.05</w:t>
            </w:r>
          </w:p>
        </w:tc>
        <w:tc>
          <w:tcPr>
            <w:tcW w:w="80" w:type="dxa"/>
            <w:tcBorders/>
            <w:vAlign w:val="center"/>
          </w:tcPr>
          <w:p>
            <w:pPr>
              <w:pStyle w:val="TableContents"/>
              <w:bidi w:val="0"/>
              <w:spacing w:before="0" w:after="283"/>
              <w:ind w:left="0" w:right="0" w:hanging="180"/>
              <w:jc w:val="left"/>
              <w:rPr/>
            </w:pPr>
            <w:r>
              <w:rPr/>
              <w:t> </w:t>
            </w:r>
            <w:bookmarkStart w:id="257" w:name="xdx_40D_eus-gaap--EarningsPerShareDilute"/>
            <w:bookmarkEnd w:id="257"/>
          </w:p>
        </w:tc>
      </w:tr>
      <w:tr>
        <w:trPr/>
        <w:tc>
          <w:tcPr>
            <w:tcW w:w="5183" w:type="dxa"/>
            <w:tcBorders/>
            <w:shd w:fill="FFFF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Diluted earnings per common share:</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ind w:left="0" w:right="0" w:hanging="180"/>
              <w:jc w:val="left"/>
              <w:rPr/>
            </w:pPr>
            <w:r>
              <w:rPr/>
              <w:t> </w:t>
            </w:r>
          </w:p>
        </w:tc>
      </w:tr>
      <w:tr>
        <w:trPr/>
        <w:tc>
          <w:tcPr>
            <w:tcW w:w="51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(loss) per share – diluted</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8" w:name="xdx_98A_eus-gaap--EarningsPerShareDilute"/>
            <w:bookmarkEnd w:id="258"/>
          </w:p>
        </w:tc>
        <w:tc>
          <w:tcPr>
            <w:tcW w:w="9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1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9" w:name="xdx_986_eus-gaap--EarningsPerShareDilute"/>
            <w:bookmarkEnd w:id="259"/>
          </w:p>
        </w:tc>
        <w:tc>
          <w:tcPr>
            <w:tcW w:w="9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0" w:name="xdx_989_eus-gaap--EarningsPerShareDilute"/>
            <w:bookmarkEnd w:id="260"/>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1" w:name="xdx_98E_eus-gaap--EarningsPerShareDilute"/>
            <w:bookmarkEnd w:id="261"/>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0.05</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62" w:name="xdx_8A3_zXFeUhiFwcwk"/>
      <w:bookmarkEnd w:id="262"/>
      <w:r>
        <w:rPr>
          <w:caps w:val="false"/>
          <w:smallCaps w:val="false"/>
        </w:rPr>
        <w:t> </w:t>
      </w:r>
    </w:p>
    <w:p>
      <w:pPr>
        <w:pStyle w:val="TextBody"/>
        <w:bidi w:val="0"/>
        <w:spacing w:before="0" w:after="0"/>
        <w:ind w:left="0" w:right="0" w:hanging="0"/>
        <w:jc w:val="both"/>
        <w:rPr>
          <w:caps w:val="false"/>
          <w:smallCaps w:val="false"/>
        </w:rPr>
      </w:pPr>
      <w:bookmarkStart w:id="263" w:name="xdx_814_zjqww6tNsiD7"/>
      <w:bookmarkEnd w:id="26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4" w:name="xdx_802_eus-gaap--FinancialInstrumentsDi"/>
      <w:bookmarkEnd w:id="264"/>
      <w:r>
        <w:rPr>
          <w:rFonts w:ascii="Times New Roman;Times;Serif" w:hAnsi="Times New Roman;Times;Serif"/>
          <w:b/>
          <w:i w:val="false"/>
          <w:caps w:val="false"/>
          <w:smallCaps w:val="false"/>
          <w:sz w:val="20"/>
        </w:rPr>
        <w:t xml:space="preserve">(5) </w:t>
      </w:r>
      <w:bookmarkStart w:id="265" w:name="xdx_827_zapPmueqJUe7"/>
      <w:bookmarkEnd w:id="265"/>
      <w:r>
        <w:rPr>
          <w:rFonts w:ascii="Times New Roman;Times;Serif" w:hAnsi="Times New Roman;Times;Serif"/>
          <w:b/>
          <w:i w:val="false"/>
          <w:caps w:val="false"/>
          <w:smallCaps w:val="false"/>
          <w:sz w:val="20"/>
        </w:rPr>
        <w:t>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follow ASC Topic 820, </w:t>
      </w:r>
      <w:r>
        <w:rPr>
          <w:rFonts w:ascii="Times New Roman;Times;Serif" w:hAnsi="Times New Roman;Times;Serif"/>
          <w:b w:val="false"/>
          <w:i/>
          <w:caps w:val="false"/>
          <w:smallCaps w:val="false"/>
          <w:sz w:val="20"/>
        </w:rPr>
        <w:t>Fair Value Measurements and Disclosures</w:t>
      </w:r>
      <w:r>
        <w:rPr>
          <w:rFonts w:ascii="Times New Roman;Times;Serif" w:hAnsi="Times New Roman;Times;Serif"/>
          <w:b w:val="false"/>
          <w:i w:val="false"/>
          <w:caps w:val="false"/>
          <w:smallCaps w:val="false"/>
          <w:sz w:val="20"/>
        </w:rPr>
        <w:t>, which defines fair value, establishes a framework for measuring fair value, and expands disclosures about fair value measurements. The fair value framework requires the categorization of assets and liabilities into three levels based upon the assumptions (inputs) used to price the assets or liabilities. Level 1 provides the most reliable measure of fair value, whereas Level 3 generally requires significant management judgment.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instruments include cash, accounts receivable, net, accounts payable and accrued expenses, along with any short-term and long-term borrowings as described in Note 6. The carrying values of cash, accounts receivable, net, and accounts payable and accrued expenses are reasonable estimates of their fair value due to the short-term nature of these accounts. The fair value of short-term and long-term debt approximates carrying value based on comparison of terms to similar debt offerings in the marketplace.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financial instruments adjusted to fair value on June 30, 2026 and December 31, 2025.</w:t>
      </w:r>
    </w:p>
    <w:p>
      <w:pPr>
        <w:pStyle w:val="TextBody"/>
        <w:bidi w:val="0"/>
        <w:spacing w:before="0" w:after="0"/>
        <w:ind w:left="0" w:right="0" w:firstLine="720"/>
        <w:jc w:val="both"/>
        <w:rPr>
          <w:caps w:val="false"/>
          <w:smallCaps w:val="false"/>
        </w:rPr>
      </w:pPr>
      <w:bookmarkStart w:id="266" w:name="xdx_814_zQihWXLi87Ee"/>
      <w:bookmarkEnd w:id="26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7" w:name="xdx_803_eus-gaap--DebtDisclosureTextBloc"/>
      <w:bookmarkEnd w:id="267"/>
      <w:r>
        <w:rPr>
          <w:rFonts w:ascii="Times New Roman;Times;Serif" w:hAnsi="Times New Roman;Times;Serif"/>
          <w:b/>
          <w:i w:val="false"/>
          <w:caps w:val="false"/>
          <w:smallCaps w:val="false"/>
          <w:sz w:val="20"/>
        </w:rPr>
        <w:t xml:space="preserve">(6) </w:t>
      </w:r>
      <w:bookmarkStart w:id="268" w:name="xdx_826_zQZdlAyr1NS6"/>
      <w:bookmarkEnd w:id="268"/>
      <w:r>
        <w:rPr>
          <w:rFonts w:ascii="Times New Roman;Times;Serif" w:hAnsi="Times New Roman;Times;Serif"/>
          <w:b/>
          <w:i w:val="false"/>
          <w:caps w:val="false"/>
          <w:smallCaps w:val="false"/>
          <w:sz w:val="20"/>
        </w:rPr>
        <w:t>Related Party Notes and Lines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69" w:name="xdx_8BB_zSQtt2x48kd9"/>
      <w:bookmarkStart w:id="270" w:name="xdx_898_eus-gaap--ScheduleOfLineOfCredit"/>
      <w:bookmarkEnd w:id="269"/>
      <w:bookmarkEnd w:id="270"/>
      <w:r>
        <w:rPr>
          <w:rFonts w:ascii="Times New Roman;Times;Serif" w:hAnsi="Times New Roman;Times;Serif"/>
          <w:b w:val="false"/>
          <w:i w:val="false"/>
          <w:caps w:val="false"/>
          <w:smallCaps w:val="false"/>
          <w:sz w:val="20"/>
        </w:rPr>
        <w:t>Notes and lines of credit consist of the following: </w:t>
      </w:r>
    </w:p>
    <w:tbl>
      <w:tblPr>
        <w:tblW w:w="10205" w:type="dxa"/>
        <w:jc w:val="left"/>
        <w:tblInd w:w="0" w:type="dxa"/>
        <w:tblLayout w:type="fixed"/>
        <w:tblCellMar>
          <w:top w:w="0" w:type="dxa"/>
          <w:left w:w="0" w:type="dxa"/>
          <w:bottom w:w="0" w:type="dxa"/>
          <w:right w:w="0" w:type="dxa"/>
        </w:tblCellMar>
      </w:tblPr>
      <w:tblGrid>
        <w:gridCol w:w="1657"/>
        <w:gridCol w:w="60"/>
        <w:gridCol w:w="1079"/>
        <w:gridCol w:w="185"/>
        <w:gridCol w:w="142"/>
        <w:gridCol w:w="1419"/>
        <w:gridCol w:w="66"/>
        <w:gridCol w:w="66"/>
        <w:gridCol w:w="199"/>
        <w:gridCol w:w="1614"/>
        <w:gridCol w:w="60"/>
        <w:gridCol w:w="60"/>
        <w:gridCol w:w="363"/>
        <w:gridCol w:w="1198"/>
        <w:gridCol w:w="71"/>
        <w:gridCol w:w="71"/>
        <w:gridCol w:w="371"/>
        <w:gridCol w:w="1442"/>
        <w:gridCol w:w="82"/>
      </w:tblGrid>
      <w:tr>
        <w:trPr/>
        <w:tc>
          <w:tcPr>
            <w:tcW w:w="16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142" w:type="dxa"/>
            <w:gridSpan w:val="14"/>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16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350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31, 2025</w:t>
            </w:r>
          </w:p>
        </w:tc>
        <w:tc>
          <w:tcPr>
            <w:tcW w:w="82" w:type="dxa"/>
            <w:tcBorders/>
            <w:vAlign w:val="center"/>
          </w:tcPr>
          <w:p>
            <w:pPr>
              <w:pStyle w:val="TableContents"/>
              <w:bidi w:val="0"/>
              <w:spacing w:before="0" w:after="283"/>
              <w:jc w:val="left"/>
              <w:rPr/>
            </w:pPr>
            <w:r>
              <w:rPr/>
              <w:t> </w:t>
            </w:r>
          </w:p>
        </w:tc>
      </w:tr>
      <w:tr>
        <w:trPr/>
        <w:tc>
          <w:tcPr>
            <w:tcW w:w="16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Rate at June 30, 2026</w:t>
            </w:r>
          </w:p>
        </w:tc>
        <w:tc>
          <w:tcPr>
            <w:tcW w:w="185" w:type="dxa"/>
            <w:tcBorders/>
            <w:vAlign w:val="center"/>
          </w:tcPr>
          <w:p>
            <w:pPr>
              <w:pStyle w:val="TableContents"/>
              <w:bidi w:val="0"/>
              <w:spacing w:before="0" w:after="283"/>
              <w:jc w:val="left"/>
              <w:rPr/>
            </w:pPr>
            <w:r>
              <w:rPr/>
              <w:t> </w:t>
            </w:r>
          </w:p>
        </w:tc>
        <w:tc>
          <w:tcPr>
            <w:tcW w:w="1561"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Borrowing Capacity</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81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Outstanding Borrowed 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1"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Borrowing Capacity</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81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Outstanding Borrowed Balance</w:t>
            </w:r>
          </w:p>
        </w:tc>
        <w:tc>
          <w:tcPr>
            <w:tcW w:w="82" w:type="dxa"/>
            <w:tcBorders/>
            <w:vAlign w:val="center"/>
          </w:tcPr>
          <w:p>
            <w:pPr>
              <w:pStyle w:val="TableContents"/>
              <w:bidi w:val="0"/>
              <w:spacing w:before="0" w:after="283"/>
              <w:jc w:val="left"/>
              <w:rPr/>
            </w:pPr>
            <w:r>
              <w:rPr/>
              <w:t> </w:t>
            </w:r>
          </w:p>
        </w:tc>
      </w:tr>
      <w:tr>
        <w:trPr/>
        <w:tc>
          <w:tcPr>
            <w:tcW w:w="16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Libertyville Bank &amp; Trust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bookmarkStart w:id="271" w:name="xdx_986_eus-gaap--RelatedPartyTransactio"/>
            <w:bookmarkEnd w:id="271"/>
          </w:p>
        </w:tc>
        <w:tc>
          <w:tcPr>
            <w:tcW w:w="10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2" w:type="dxa"/>
            <w:tcBorders/>
            <w:shd w:fill="CCEEFF" w:val="clear"/>
            <w:vAlign w:val="center"/>
          </w:tcPr>
          <w:p>
            <w:pPr>
              <w:pStyle w:val="TableContents"/>
              <w:bidi w:val="0"/>
              <w:spacing w:before="0" w:after="283"/>
              <w:jc w:val="left"/>
              <w:rPr/>
            </w:pPr>
            <w:r>
              <w:rPr/>
              <w:t> </w:t>
            </w:r>
            <w:bookmarkStart w:id="272" w:name="xdx_984_eus-gaap--LineOfCreditFacilityCu"/>
            <w:bookmarkEnd w:id="272"/>
          </w:p>
        </w:tc>
        <w:tc>
          <w:tcPr>
            <w:tcW w:w="14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bookmarkStart w:id="273" w:name="xdx_981_eus-gaap--LineOfCredit_iI_c20260"/>
            <w:bookmarkEnd w:id="273"/>
          </w:p>
        </w:tc>
        <w:tc>
          <w:tcPr>
            <w:tcW w:w="1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bookmarkStart w:id="274" w:name="xdx_988_eus-gaap--LineOfCreditFacilityCu"/>
            <w:bookmarkEnd w:id="274"/>
          </w:p>
        </w:tc>
        <w:tc>
          <w:tcPr>
            <w:tcW w:w="11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5" w:name="xdx_988_eus-gaap--LineOfCredit_iI_c20251"/>
            <w:bookmarkEnd w:id="275"/>
          </w:p>
        </w:tc>
        <w:tc>
          <w:tcPr>
            <w:tcW w:w="1442"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16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Libertyville Bank &amp; Trust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bookmarkStart w:id="276" w:name="xdx_98D_eus-gaap--RelatedPartyTransactio"/>
            <w:bookmarkEnd w:id="276"/>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2" w:type="dxa"/>
            <w:tcBorders/>
            <w:shd w:fill="FFFFFF" w:val="clear"/>
            <w:vAlign w:val="center"/>
          </w:tcPr>
          <w:p>
            <w:pPr>
              <w:pStyle w:val="TableContents"/>
              <w:bidi w:val="0"/>
              <w:spacing w:before="0" w:after="283"/>
              <w:jc w:val="left"/>
              <w:rPr/>
            </w:pPr>
            <w:r>
              <w:rPr/>
              <w:t> </w:t>
            </w:r>
            <w:bookmarkStart w:id="277" w:name="xdx_988_eus-gaap--LineOfCreditFacilityCu"/>
            <w:bookmarkEnd w:id="277"/>
          </w:p>
        </w:tc>
        <w:tc>
          <w:tcPr>
            <w:tcW w:w="14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bookmarkStart w:id="278" w:name="xdx_98D_eus-gaap--LineOfCredit_iI_c20260"/>
            <w:bookmarkEnd w:id="278"/>
          </w:p>
        </w:tc>
        <w:tc>
          <w:tcPr>
            <w:tcW w:w="1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bookmarkStart w:id="279" w:name="xdx_983_eus-gaap--LineOfCreditFacilityCu"/>
            <w:bookmarkEnd w:id="279"/>
          </w:p>
        </w:tc>
        <w:tc>
          <w:tcPr>
            <w:tcW w:w="119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bookmarkStart w:id="280" w:name="xdx_98D_eus-gaap--LineOfCredit_iI_c20251"/>
            <w:bookmarkEnd w:id="280"/>
          </w:p>
        </w:tc>
        <w:tc>
          <w:tcPr>
            <w:tcW w:w="1442" w:type="dxa"/>
            <w:tcBorders/>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16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Beachcorp, LLC </w:t>
            </w:r>
            <w:r>
              <w:rPr>
                <w:rFonts w:ascii="Times New Roman;Times;Serif" w:hAnsi="Times New Roman;Times;Serif"/>
                <w:position w:val="7"/>
                <w:sz w:val="16"/>
                <w:sz w:val="20"/>
              </w:rPr>
              <w:t xml:space="preserve">(3) </w:t>
            </w:r>
          </w:p>
        </w:tc>
        <w:tc>
          <w:tcPr>
            <w:tcW w:w="60" w:type="dxa"/>
            <w:tcBorders/>
            <w:shd w:fill="CCEEFF" w:val="clear"/>
            <w:vAlign w:val="center"/>
          </w:tcPr>
          <w:p>
            <w:pPr>
              <w:pStyle w:val="TableContents"/>
              <w:bidi w:val="0"/>
              <w:spacing w:before="0" w:after="283"/>
              <w:jc w:val="left"/>
              <w:rPr/>
            </w:pPr>
            <w:r>
              <w:rPr/>
              <w:t> </w:t>
            </w:r>
            <w:bookmarkStart w:id="281" w:name="xdx_98B_eus-gaap--RelatedPartyTransactio"/>
            <w:bookmarkEnd w:id="281"/>
          </w:p>
        </w:tc>
        <w:tc>
          <w:tcPr>
            <w:tcW w:w="10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2" w:type="dxa"/>
            <w:tcBorders/>
            <w:shd w:fill="CCEEFF" w:val="clear"/>
            <w:vAlign w:val="center"/>
          </w:tcPr>
          <w:p>
            <w:pPr>
              <w:pStyle w:val="TableContents"/>
              <w:bidi w:val="0"/>
              <w:spacing w:before="0" w:after="283"/>
              <w:jc w:val="left"/>
              <w:rPr/>
            </w:pPr>
            <w:r>
              <w:rPr/>
              <w:t> </w:t>
            </w:r>
            <w:bookmarkStart w:id="282" w:name="xdx_980_eus-gaap--LineOfCreditFacilityCu"/>
            <w:bookmarkEnd w:id="282"/>
          </w:p>
        </w:tc>
        <w:tc>
          <w:tcPr>
            <w:tcW w:w="14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9,504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bookmarkStart w:id="283" w:name="xdx_98C_eus-gaap--LineOfCredit_iI_c20260"/>
            <w:bookmarkEnd w:id="283"/>
          </w:p>
        </w:tc>
        <w:tc>
          <w:tcPr>
            <w:tcW w:w="16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bookmarkStart w:id="284" w:name="xdx_98E_eus-gaap--LineOfCreditFacilityCu"/>
            <w:bookmarkEnd w:id="284"/>
          </w:p>
        </w:tc>
        <w:tc>
          <w:tcPr>
            <w:tcW w:w="11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6,236</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bookmarkStart w:id="285" w:name="xdx_982_eus-gaap--LineOfCredit_iI_c20251"/>
            <w:bookmarkEnd w:id="285"/>
          </w:p>
        </w:tc>
        <w:tc>
          <w:tcPr>
            <w:tcW w:w="14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4,767</w:t>
            </w:r>
          </w:p>
        </w:tc>
        <w:tc>
          <w:tcPr>
            <w:tcW w:w="82" w:type="dxa"/>
            <w:tcBorders/>
            <w:shd w:fill="CCEEFF" w:val="clear"/>
            <w:vAlign w:val="center"/>
          </w:tcPr>
          <w:p>
            <w:pPr>
              <w:pStyle w:val="TableContents"/>
              <w:bidi w:val="0"/>
              <w:spacing w:before="0" w:after="283"/>
              <w:jc w:val="left"/>
              <w:rPr/>
            </w:pPr>
            <w:r>
              <w:rPr/>
              <w:t> </w:t>
            </w:r>
          </w:p>
        </w:tc>
      </w:tr>
      <w:tr>
        <w:trPr/>
        <w:tc>
          <w:tcPr>
            <w:tcW w:w="16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Beachcorp, LLC </w:t>
            </w:r>
            <w:r>
              <w:rPr>
                <w:rFonts w:ascii="Times New Roman;Times;Serif" w:hAnsi="Times New Roman;Times;Serif"/>
                <w:position w:val="7"/>
                <w:sz w:val="16"/>
                <w:sz w:val="20"/>
              </w:rPr>
              <w:t xml:space="preserve">(4) </w:t>
            </w:r>
          </w:p>
        </w:tc>
        <w:tc>
          <w:tcPr>
            <w:tcW w:w="60" w:type="dxa"/>
            <w:tcBorders/>
            <w:vAlign w:val="center"/>
          </w:tcPr>
          <w:p>
            <w:pPr>
              <w:pStyle w:val="TableContents"/>
              <w:bidi w:val="0"/>
              <w:spacing w:before="0" w:after="283"/>
              <w:jc w:val="left"/>
              <w:rPr/>
            </w:pPr>
            <w:r>
              <w:rPr/>
              <w:t> </w:t>
            </w:r>
            <w:bookmarkStart w:id="286" w:name="xdx_984_eus-gaap--RelatedPartyTransactio"/>
            <w:bookmarkEnd w:id="286"/>
          </w:p>
        </w:tc>
        <w:tc>
          <w:tcPr>
            <w:tcW w:w="107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2" w:type="dxa"/>
            <w:tcBorders/>
            <w:vAlign w:val="center"/>
          </w:tcPr>
          <w:p>
            <w:pPr>
              <w:pStyle w:val="TableContents"/>
              <w:bidi w:val="0"/>
              <w:spacing w:before="0" w:after="283"/>
              <w:jc w:val="left"/>
              <w:rPr/>
            </w:pPr>
            <w:r>
              <w:rPr/>
              <w:t> </w:t>
            </w:r>
            <w:bookmarkStart w:id="287" w:name="xdx_981_eus-gaap--LineOfCreditFacilityCu"/>
            <w:bookmarkEnd w:id="287"/>
          </w:p>
        </w:tc>
        <w:tc>
          <w:tcPr>
            <w:tcW w:w="141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bookmarkStart w:id="288" w:name="xdx_98F_eus-gaap--LineOfCredit_iI_c20260"/>
            <w:bookmarkEnd w:id="288"/>
          </w:p>
        </w:tc>
        <w:tc>
          <w:tcPr>
            <w:tcW w:w="161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bookmarkStart w:id="289" w:name="xdx_984_eus-gaap--LineOfCreditFacilityCu"/>
            <w:bookmarkEnd w:id="289"/>
          </w:p>
        </w:tc>
        <w:tc>
          <w:tcPr>
            <w:tcW w:w="119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bookmarkStart w:id="290" w:name="xdx_98C_eus-gaap--LineOfCredit_iI_c20251"/>
            <w:bookmarkEnd w:id="290"/>
          </w:p>
        </w:tc>
        <w:tc>
          <w:tcPr>
            <w:tcW w:w="144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9,500</w:t>
            </w:r>
          </w:p>
        </w:tc>
        <w:tc>
          <w:tcPr>
            <w:tcW w:w="82" w:type="dxa"/>
            <w:tcBorders/>
            <w:vAlign w:val="center"/>
          </w:tcPr>
          <w:p>
            <w:pPr>
              <w:pStyle w:val="TableContents"/>
              <w:bidi w:val="0"/>
              <w:spacing w:before="0" w:after="283"/>
              <w:jc w:val="left"/>
              <w:rPr/>
            </w:pPr>
            <w:r>
              <w:rPr/>
              <w:t> </w:t>
            </w:r>
          </w:p>
        </w:tc>
      </w:tr>
      <w:tr>
        <w:trPr/>
        <w:tc>
          <w:tcPr>
            <w:tcW w:w="16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Strandler, LLC   </w:t>
            </w:r>
            <w:r>
              <w:rPr>
                <w:rFonts w:ascii="Times New Roman;Times;Serif" w:hAnsi="Times New Roman;Times;Serif"/>
                <w:position w:val="7"/>
                <w:sz w:val="16"/>
                <w:sz w:val="20"/>
              </w:rPr>
              <w:t xml:space="preserve">(5) </w:t>
            </w:r>
          </w:p>
        </w:tc>
        <w:tc>
          <w:tcPr>
            <w:tcW w:w="60" w:type="dxa"/>
            <w:tcBorders/>
            <w:shd w:fill="CCEEFF" w:val="clear"/>
            <w:vAlign w:val="center"/>
          </w:tcPr>
          <w:p>
            <w:pPr>
              <w:pStyle w:val="TableContents"/>
              <w:bidi w:val="0"/>
              <w:spacing w:before="0" w:after="283"/>
              <w:jc w:val="left"/>
              <w:rPr/>
            </w:pPr>
            <w:r>
              <w:rPr/>
              <w:t> </w:t>
            </w:r>
            <w:bookmarkStart w:id="291" w:name="xdx_984_eus-gaap--RelatedPartyTransactio"/>
            <w:bookmarkEnd w:id="291"/>
          </w:p>
        </w:tc>
        <w:tc>
          <w:tcPr>
            <w:tcW w:w="10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2" w:type="dxa"/>
            <w:tcBorders/>
            <w:shd w:fill="CCEEFF" w:val="clear"/>
            <w:vAlign w:val="center"/>
          </w:tcPr>
          <w:p>
            <w:pPr>
              <w:pStyle w:val="TableContents"/>
              <w:bidi w:val="0"/>
              <w:spacing w:before="0" w:after="283"/>
              <w:jc w:val="left"/>
              <w:rPr/>
            </w:pPr>
            <w:r>
              <w:rPr/>
              <w:t> </w:t>
            </w:r>
            <w:bookmarkStart w:id="292" w:name="xdx_989_eus-gaap--LineOfCreditFacilityCu"/>
            <w:bookmarkEnd w:id="292"/>
          </w:p>
        </w:tc>
        <w:tc>
          <w:tcPr>
            <w:tcW w:w="14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bookmarkStart w:id="293" w:name="xdx_988_eus-gaap--LineOfCredit_iI_c20260"/>
            <w:bookmarkEnd w:id="293"/>
          </w:p>
        </w:tc>
        <w:tc>
          <w:tcPr>
            <w:tcW w:w="16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bookmarkStart w:id="294" w:name="xdx_983_eus-gaap--LineOfCreditFacilityCu"/>
            <w:bookmarkEnd w:id="294"/>
          </w:p>
        </w:tc>
        <w:tc>
          <w:tcPr>
            <w:tcW w:w="11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bookmarkStart w:id="295" w:name="xdx_98E_eus-gaap--LineOfCredit_iI_c20251"/>
            <w:bookmarkEnd w:id="295"/>
          </w:p>
        </w:tc>
        <w:tc>
          <w:tcPr>
            <w:tcW w:w="14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38"/>
        <w:gridCol w:w="10029"/>
      </w:tblGrid>
      <w:tr>
        <w:trPr/>
        <w:tc>
          <w:tcPr>
            <w:tcW w:w="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sz w:val="20"/>
              </w:rPr>
            </w:pPr>
            <w:bookmarkStart w:id="296" w:name="xdx_F0C_zeILK1Op9mbl"/>
            <w:bookmarkEnd w:id="296"/>
            <w:r>
              <w:rPr>
                <w:rFonts w:ascii="Times New Roman;Times;Serif" w:hAnsi="Times New Roman;Times;Serif"/>
                <w:sz w:val="20"/>
              </w:rPr>
              <w:t>1)</w:t>
            </w:r>
          </w:p>
        </w:tc>
        <w:tc>
          <w:tcPr>
            <w:tcW w:w="10029" w:type="dxa"/>
            <w:tcBorders/>
            <w:vAlign w:val="center"/>
          </w:tcPr>
          <w:p>
            <w:pPr>
              <w:pStyle w:val="TableContents"/>
              <w:bidi w:val="0"/>
              <w:spacing w:before="0" w:after="283"/>
              <w:jc w:val="both"/>
              <w:rPr>
                <w:rFonts w:ascii="Times New Roman;Times;Serif" w:hAnsi="Times New Roman;Times;Serif"/>
                <w:sz w:val="20"/>
              </w:rPr>
            </w:pPr>
            <w:bookmarkStart w:id="297" w:name="xdx_F12_zpsHSpe38KW3"/>
            <w:bookmarkEnd w:id="297"/>
            <w:r>
              <w:rPr>
                <w:rFonts w:ascii="Times New Roman;Times;Serif" w:hAnsi="Times New Roman;Times;Serif"/>
                <w:sz w:val="20"/>
              </w:rPr>
              <w:t>Since July 2014, we have maintained a bank-issued letter of credit for up to $</w:t>
            </w:r>
            <w:bookmarkStart w:id="298" w:name="xdx_90F_eus-gaap--LineOfCreditFacilityMa"/>
            <w:bookmarkEnd w:id="298"/>
            <w:r>
              <w:rPr>
                <w:rFonts w:ascii="Times New Roman;Times;Serif" w:hAnsi="Times New Roman;Times;Serif"/>
                <w:sz w:val="20"/>
              </w:rPr>
              <w:t xml:space="preserve">30 in borrowings, with interest at the </w:t>
            </w:r>
            <w:bookmarkStart w:id="299" w:name="xdx_902_eus-gaap--DebtInstrumentDescript"/>
            <w:bookmarkEnd w:id="299"/>
            <w:r>
              <w:rPr>
                <w:rFonts w:ascii="Times New Roman;Times;Serif" w:hAnsi="Times New Roman;Times;Serif"/>
                <w:sz w:val="20"/>
              </w:rPr>
              <w:t xml:space="preserve">prime rate plus </w:t>
            </w:r>
            <w:bookmarkStart w:id="300" w:name="xdx_901_eus-gaap--DebtInstrumentBasisSpr"/>
            <w:bookmarkEnd w:id="300"/>
            <w:r>
              <w:rPr>
                <w:rFonts w:ascii="Times New Roman;Times;Serif" w:hAnsi="Times New Roman;Times;Serif"/>
                <w:sz w:val="20"/>
              </w:rPr>
              <w:t>1%, to support our obligations under our Romeoville, Illinois facility lease agreement. No borrowings have been incurred under this promissory note. It is our intention to renew this note annually. Because there were no amounts outstanding on the note at any time during 2026 or 2025, we have recorded no related liability on our condensed consolidated balance sheet.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sz w:val="20"/>
              </w:rPr>
            </w:pPr>
            <w:bookmarkStart w:id="301" w:name="xdx_F04_zK0QAmgbXqte"/>
            <w:bookmarkEnd w:id="301"/>
            <w:r>
              <w:rPr>
                <w:rFonts w:ascii="Times New Roman;Times;Serif" w:hAnsi="Times New Roman;Times;Serif"/>
                <w:sz w:val="20"/>
              </w:rPr>
              <w:t>2)</w:t>
            </w:r>
          </w:p>
        </w:tc>
        <w:tc>
          <w:tcPr>
            <w:tcW w:w="10031" w:type="dxa"/>
            <w:tcBorders/>
            <w:vAlign w:val="center"/>
          </w:tcPr>
          <w:p>
            <w:pPr>
              <w:pStyle w:val="TableContents"/>
              <w:bidi w:val="0"/>
              <w:spacing w:before="0" w:after="283"/>
              <w:jc w:val="both"/>
              <w:rPr>
                <w:rFonts w:ascii="Times New Roman;Times;Serif" w:hAnsi="Times New Roman;Times;Serif"/>
                <w:sz w:val="20"/>
              </w:rPr>
            </w:pPr>
            <w:bookmarkStart w:id="302" w:name="xdx_F17_zh38SUCfjbY4"/>
            <w:bookmarkEnd w:id="302"/>
            <w:r>
              <w:rPr>
                <w:rFonts w:ascii="Times New Roman;Times;Serif" w:hAnsi="Times New Roman;Times;Serif"/>
                <w:sz w:val="20"/>
              </w:rPr>
              <w:t xml:space="preserve">On December 21, 2021, the existing credit agreement with Libertyville was converted for use to support our obligations under our newly leased manufacturing and warehouse space in Bolingbrook, Illinois. Interest on drawn balances will be at the </w:t>
            </w:r>
            <w:bookmarkStart w:id="303" w:name="xdx_906_eus-gaap--DebtInstrumentDescript"/>
            <w:bookmarkEnd w:id="303"/>
            <w:r>
              <w:rPr>
                <w:rFonts w:ascii="Times New Roman;Times;Serif" w:hAnsi="Times New Roman;Times;Serif"/>
                <w:sz w:val="20"/>
              </w:rPr>
              <w:t xml:space="preserve">prime rate plus </w:t>
            </w:r>
            <w:bookmarkStart w:id="304" w:name="xdx_903_eus-gaap--DebtInstrumentBasisSpr"/>
            <w:bookmarkEnd w:id="304"/>
            <w:r>
              <w:rPr>
                <w:rFonts w:ascii="Times New Roman;Times;Serif" w:hAnsi="Times New Roman;Times;Serif"/>
                <w:sz w:val="20"/>
              </w:rPr>
              <w:t xml:space="preserve">1%. This credit agreement has a maturity of </w:t>
            </w:r>
            <w:bookmarkStart w:id="305" w:name="xdx_906_eus-gaap--DebtInstrumentMaturity"/>
            <w:bookmarkEnd w:id="305"/>
            <w:r>
              <w:rPr>
                <w:rFonts w:ascii="Times New Roman;Times;Serif" w:hAnsi="Times New Roman;Times;Serif"/>
                <w:sz w:val="20"/>
              </w:rPr>
              <w:t>December 22, 2026. We expect to renew this agreement annually, as the lease requires. This credit agreement is secured by all the unencumbered assets of the Company and has superior collateral rights to those credit facilities with Beachcorp, LLC and Strandler, LLC.</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sz w:val="20"/>
              </w:rPr>
            </w:pPr>
            <w:bookmarkStart w:id="306" w:name="xdx_F05_z2lqvo1g9eVd"/>
            <w:bookmarkEnd w:id="306"/>
            <w:r>
              <w:rPr>
                <w:rFonts w:ascii="Times New Roman;Times;Serif" w:hAnsi="Times New Roman;Times;Serif"/>
                <w:sz w:val="20"/>
              </w:rPr>
              <w:t>3)</w:t>
            </w:r>
          </w:p>
        </w:tc>
        <w:tc>
          <w:tcPr>
            <w:tcW w:w="10035" w:type="dxa"/>
            <w:tcBorders/>
            <w:vAlign w:val="center"/>
          </w:tcPr>
          <w:p>
            <w:pPr>
              <w:pStyle w:val="TableContents"/>
              <w:bidi w:val="0"/>
              <w:spacing w:before="0" w:after="283"/>
              <w:jc w:val="both"/>
              <w:rPr>
                <w:rFonts w:ascii="Times New Roman;Times;Serif" w:hAnsi="Times New Roman;Times;Serif"/>
                <w:sz w:val="20"/>
              </w:rPr>
            </w:pPr>
            <w:bookmarkStart w:id="307" w:name="xdx_F11_zcK1uDvi6R63"/>
            <w:bookmarkEnd w:id="307"/>
            <w:r>
              <w:rPr>
                <w:rFonts w:ascii="Times New Roman;Times;Serif" w:hAnsi="Times New Roman;Times;Serif"/>
                <w:sz w:val="20"/>
              </w:rPr>
              <w:t>On January 28, 2022, the Company entered into an Amended and Restated Business Loan Agreement (the “A&amp;R Loan Agreement”), which amends and restates the Master Agreement between the Company and Beachcorp, LLC, and a new promissory note in order to evidence the A/R Revolver facility, including an amendment to expand the limit on the A/R Revolver Facility from $</w:t>
            </w:r>
            <w:bookmarkStart w:id="308" w:name="xdx_908_eus-gaap--LineOfCreditFacilityMa"/>
            <w:bookmarkEnd w:id="308"/>
            <w:r>
              <w:rPr>
                <w:rFonts w:ascii="Times New Roman;Times;Serif" w:hAnsi="Times New Roman;Times;Serif"/>
                <w:sz w:val="20"/>
              </w:rPr>
              <w:t>6,000 to $</w:t>
            </w:r>
            <w:bookmarkStart w:id="309" w:name="xdx_904_eus-gaap--LineOfCreditFacilityMa"/>
            <w:bookmarkEnd w:id="309"/>
            <w:r>
              <w:rPr>
                <w:rFonts w:ascii="Times New Roman;Times;Serif" w:hAnsi="Times New Roman;Times;Serif"/>
                <w:sz w:val="20"/>
              </w:rPr>
              <w:t xml:space="preserve">8,000, reduce the interest rate to the </w:t>
            </w:r>
            <w:bookmarkStart w:id="310" w:name="xdx_90D_eus-gaap--DebtInstrumentDescript"/>
            <w:bookmarkEnd w:id="310"/>
            <w:r>
              <w:rPr>
                <w:rFonts w:ascii="Times New Roman;Times;Serif" w:hAnsi="Times New Roman;Times;Serif"/>
                <w:sz w:val="20"/>
              </w:rPr>
              <w:t xml:space="preserve">prime rate plus </w:t>
            </w:r>
            <w:bookmarkStart w:id="311" w:name="xdx_903_eus-gaap--DebtInstrumentBasisSpr"/>
            <w:bookmarkEnd w:id="311"/>
            <w:r>
              <w:rPr>
                <w:rFonts w:ascii="Times New Roman;Times;Serif" w:hAnsi="Times New Roman;Times;Serif"/>
                <w:sz w:val="20"/>
              </w:rPr>
              <w:t xml:space="preserve">0.75%, and extend the maturity of the A/R Revolver Facility to </w:t>
            </w:r>
            <w:bookmarkStart w:id="312" w:name="xdx_90E_eus-gaap--LineOfCreditFacilityEx"/>
            <w:bookmarkEnd w:id="312"/>
            <w:r>
              <w:rPr>
                <w:rFonts w:ascii="Times New Roman;Times;Serif" w:hAnsi="Times New Roman;Times;Serif"/>
                <w:sz w:val="20"/>
              </w:rPr>
              <w:t xml:space="preserve">March 31, 2024. On March 1, 2024, the Company entered into a Second Amendment to the Amended and Restated Business Loan Agreement extending the maturity of the A/R Revolver Facility to </w:t>
            </w:r>
            <w:bookmarkStart w:id="313" w:name="xdx_90C_eus-gaap--LineOfCreditFacilityEx"/>
            <w:bookmarkEnd w:id="313"/>
            <w:r>
              <w:rPr>
                <w:rFonts w:ascii="Times New Roman;Times;Serif" w:hAnsi="Times New Roman;Times;Serif"/>
                <w:sz w:val="20"/>
              </w:rPr>
              <w:t>October 1, 2025. On May 27, 2025, the Company entered into a Third Amendment to the Amended and Restated Business Loan Agreement to expand the limit on the A/R Revolver Facility from $</w:t>
            </w:r>
            <w:bookmarkStart w:id="314" w:name="xdx_900_eus-gaap--LineOfCreditFacilityMa"/>
            <w:bookmarkEnd w:id="314"/>
            <w:r>
              <w:rPr>
                <w:rFonts w:ascii="Times New Roman;Times;Serif" w:hAnsi="Times New Roman;Times;Serif"/>
                <w:sz w:val="20"/>
              </w:rPr>
              <w:t>8,000 to $</w:t>
            </w:r>
            <w:bookmarkStart w:id="315" w:name="xdx_900_eus-gaap--LineOfCreditFacilityMa"/>
            <w:bookmarkEnd w:id="315"/>
            <w:r>
              <w:rPr>
                <w:rFonts w:ascii="Times New Roman;Times;Serif" w:hAnsi="Times New Roman;Times;Serif"/>
                <w:sz w:val="20"/>
              </w:rPr>
              <w:t xml:space="preserve">12,000, and extend its maturity to </w:t>
            </w:r>
            <w:bookmarkStart w:id="316" w:name="xdx_908_eus-gaap--LineOfCreditFacilityEx"/>
            <w:bookmarkEnd w:id="316"/>
            <w:r>
              <w:rPr>
                <w:rFonts w:ascii="Times New Roman;Times;Serif" w:hAnsi="Times New Roman;Times;Serif"/>
                <w:sz w:val="20"/>
              </w:rPr>
              <w:t>April 30, 2027.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bookmarkStart w:id="317" w:name="xdx_23F_zZLvhKLEoe41"/>
      <w:bookmarkEnd w:id="317"/>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28"/>
        <w:gridCol w:w="10039"/>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28" w:type="dxa"/>
            <w:tcBorders/>
            <w:shd w:fill="FFFFFF" w:val="clear"/>
            <w:vAlign w:val="center"/>
          </w:tcPr>
          <w:p>
            <w:pPr>
              <w:pStyle w:val="TableContents"/>
              <w:bidi w:val="0"/>
              <w:spacing w:before="0" w:after="283"/>
              <w:jc w:val="left"/>
              <w:rPr>
                <w:rFonts w:ascii="Times New Roman;Times;Serif" w:hAnsi="Times New Roman;Times;Serif"/>
                <w:sz w:val="20"/>
              </w:rPr>
            </w:pPr>
            <w:bookmarkStart w:id="318" w:name="xdx_F01_zXJJS6gmBRE8"/>
            <w:bookmarkEnd w:id="318"/>
            <w:r>
              <w:rPr>
                <w:rFonts w:ascii="Times New Roman;Times;Serif" w:hAnsi="Times New Roman;Times;Serif"/>
                <w:sz w:val="20"/>
              </w:rPr>
              <w:t>4)</w:t>
            </w:r>
          </w:p>
        </w:tc>
        <w:tc>
          <w:tcPr>
            <w:tcW w:w="10039" w:type="dxa"/>
            <w:tcBorders/>
            <w:shd w:fill="FFFFFF" w:val="clear"/>
            <w:vAlign w:val="center"/>
          </w:tcPr>
          <w:p>
            <w:pPr>
              <w:pStyle w:val="TableContents"/>
              <w:bidi w:val="0"/>
              <w:spacing w:before="0" w:after="283"/>
              <w:jc w:val="both"/>
              <w:rPr>
                <w:rFonts w:ascii="Times New Roman;Times;Serif" w:hAnsi="Times New Roman;Times;Serif"/>
                <w:sz w:val="20"/>
              </w:rPr>
            </w:pPr>
            <w:bookmarkStart w:id="319" w:name="xdx_F11_zbIRZqUkPCCc"/>
            <w:bookmarkEnd w:id="319"/>
            <w:r>
              <w:rPr>
                <w:rFonts w:ascii="Times New Roman;Times;Serif" w:hAnsi="Times New Roman;Times;Serif"/>
                <w:sz w:val="20"/>
              </w:rPr>
              <w:t>On January 28, 2022, the Company entered into the A&amp;R Loan Agreement and a new revolving loan agreement (“Inventory Facility”) with Beachcorp, LLC, and a new promissory note in order to evidence the Inventory Facility. The maximum borrowing amount under the Inventory Facility was $</w:t>
            </w:r>
            <w:bookmarkStart w:id="320" w:name="xdx_90B_eus-gaap--LineOfCreditFacilityMa"/>
            <w:bookmarkEnd w:id="320"/>
            <w:r>
              <w:rPr>
                <w:rFonts w:ascii="Times New Roman;Times;Serif" w:hAnsi="Times New Roman;Times;Serif"/>
                <w:sz w:val="20"/>
              </w:rPr>
              <w:t xml:space="preserve">4,000, with a borrowing base consisting of up to </w:t>
            </w:r>
            <w:bookmarkStart w:id="321" w:name="xdx_90C_ecustom--LineOfCreditPercentageO"/>
            <w:bookmarkEnd w:id="321"/>
            <w:r>
              <w:rPr>
                <w:rFonts w:ascii="Times New Roman;Times;Serif" w:hAnsi="Times New Roman;Times;Serif"/>
                <w:sz w:val="20"/>
              </w:rPr>
              <w:t xml:space="preserve">50% of the value of qualified inventory of the Company. The interest rate for the Inventory Revolver is at the </w:t>
            </w:r>
            <w:bookmarkStart w:id="322" w:name="xdx_901_eus-gaap--DebtInstrumentDescript"/>
            <w:bookmarkEnd w:id="322"/>
            <w:r>
              <w:rPr>
                <w:rFonts w:ascii="Times New Roman;Times;Serif" w:hAnsi="Times New Roman;Times;Serif"/>
                <w:sz w:val="20"/>
              </w:rPr>
              <w:t xml:space="preserve">prime rate plus </w:t>
            </w:r>
            <w:bookmarkStart w:id="323" w:name="xdx_903_eus-gaap--DebtInstrumentBasisSpr"/>
            <w:bookmarkEnd w:id="323"/>
            <w:r>
              <w:rPr>
                <w:rFonts w:ascii="Times New Roman;Times;Serif" w:hAnsi="Times New Roman;Times;Serif"/>
                <w:sz w:val="20"/>
              </w:rPr>
              <w:t xml:space="preserve">0.75%, and it was set to mature on </w:t>
            </w:r>
            <w:bookmarkStart w:id="324" w:name="xdx_902_eus-gaap--LineOfCreditFacilityEx"/>
            <w:bookmarkEnd w:id="324"/>
            <w:r>
              <w:rPr>
                <w:rFonts w:ascii="Times New Roman;Times;Serif" w:hAnsi="Times New Roman;Times;Serif"/>
                <w:sz w:val="20"/>
              </w:rPr>
              <w:t>March 31, 2024. On November 13, 2023, the Company entered into a Replacement Promissory Note with Beachcorp, LLC replacing the Inventory Facility promissory note executed on January 28, 2022. The maximum borrowing amount under the replacement Inventory Facility was increased to $</w:t>
            </w:r>
            <w:bookmarkStart w:id="325" w:name="xdx_906_eus-gaap--LineOfCreditFacilityMa"/>
            <w:bookmarkEnd w:id="325"/>
            <w:r>
              <w:rPr>
                <w:rFonts w:ascii="Times New Roman;Times;Serif" w:hAnsi="Times New Roman;Times;Serif"/>
                <w:sz w:val="20"/>
              </w:rPr>
              <w:t xml:space="preserve">5,200, with a borrowing base consisting of up to </w:t>
            </w:r>
            <w:bookmarkStart w:id="326" w:name="xdx_90C_ecustom--LineOfCreditPercentageO"/>
            <w:bookmarkEnd w:id="326"/>
            <w:r>
              <w:rPr>
                <w:rFonts w:ascii="Times New Roman;Times;Serif" w:hAnsi="Times New Roman;Times;Serif"/>
                <w:sz w:val="20"/>
              </w:rPr>
              <w:t xml:space="preserve">55% of the value of qualified inventory of the Company. The interest rate for the replacement Inventory Revolver remains at the </w:t>
            </w:r>
            <w:bookmarkStart w:id="327" w:name="xdx_905_eus-gaap--DebtInstrumentDescript"/>
            <w:bookmarkEnd w:id="327"/>
            <w:r>
              <w:rPr>
                <w:rFonts w:ascii="Times New Roman;Times;Serif" w:hAnsi="Times New Roman;Times;Serif"/>
                <w:sz w:val="20"/>
              </w:rPr>
              <w:t xml:space="preserve">prime rate plus </w:t>
            </w:r>
            <w:bookmarkStart w:id="328" w:name="xdx_905_eus-gaap--DebtInstrumentBasisSpr"/>
            <w:bookmarkEnd w:id="328"/>
            <w:r>
              <w:rPr>
                <w:rFonts w:ascii="Times New Roman;Times;Serif" w:hAnsi="Times New Roman;Times;Serif"/>
                <w:sz w:val="20"/>
              </w:rPr>
              <w:t xml:space="preserve">0.75%. On March 1, 2024, the company entered into a Second Amendment to the Business Loan Agreement extending the maturity of the Inventory Revolver Facility to </w:t>
            </w:r>
            <w:bookmarkStart w:id="329" w:name="xdx_902_eus-gaap--LineOfCreditFacilityEx"/>
            <w:bookmarkEnd w:id="329"/>
            <w:r>
              <w:rPr>
                <w:rFonts w:ascii="Times New Roman;Times;Serif" w:hAnsi="Times New Roman;Times;Serif"/>
                <w:sz w:val="20"/>
              </w:rPr>
              <w:t>October 1, 2025. On May 27, 2025, the Company entered into a Third Amendment to the Business Loan Agreement to expand the limit on the Inventory Revolver Facility from $</w:t>
            </w:r>
            <w:bookmarkStart w:id="330" w:name="xdx_903_eus-gaap--LineOfCreditFacilityMa"/>
            <w:bookmarkEnd w:id="330"/>
            <w:r>
              <w:rPr>
                <w:rFonts w:ascii="Times New Roman;Times;Serif" w:hAnsi="Times New Roman;Times;Serif"/>
                <w:sz w:val="20"/>
              </w:rPr>
              <w:t>5,200 to $</w:t>
            </w:r>
            <w:bookmarkStart w:id="331" w:name="xdx_907_eus-gaap--LineOfCreditFacilityMa"/>
            <w:bookmarkEnd w:id="331"/>
            <w:r>
              <w:rPr>
                <w:rFonts w:ascii="Times New Roman;Times;Serif" w:hAnsi="Times New Roman;Times;Serif"/>
                <w:sz w:val="20"/>
              </w:rPr>
              <w:t xml:space="preserve">10,000, and extend its maturity to </w:t>
            </w:r>
            <w:bookmarkStart w:id="332" w:name="xdx_90A_eus-gaap--LineOfCreditFacilityEx"/>
            <w:bookmarkEnd w:id="332"/>
            <w:r>
              <w:rPr>
                <w:rFonts w:ascii="Times New Roman;Times;Serif" w:hAnsi="Times New Roman;Times;Serif"/>
                <w:sz w:val="20"/>
              </w:rPr>
              <w:t xml:space="preserve">April 30, 2027. As described below in Note 11 (Restatement of Previously Issued Consolidated Financial Statements), the Company recently identified errors in its historical accounting for labor and overhead included in inventories.  As a result, inventories were overstated in past borrowing base calculations under the Inventory Facility.  Effective August 17, 2026, Beachcorp, LLC provided a waiver of all breaches and defaults under the Inventory Facility as a result of the foregoing up to a maximum of </w:t>
            </w:r>
            <w:bookmarkStart w:id="333" w:name="xdx_900_ecustom--OverstatedInventoryMaxi"/>
            <w:bookmarkEnd w:id="333"/>
            <w:r>
              <w:rPr>
                <w:rFonts w:ascii="Times New Roman;Times;Serif" w:hAnsi="Times New Roman;Times;Serif"/>
                <w:sz w:val="20"/>
              </w:rPr>
              <w:t>$3,000 in overstated inventory. The Company does not expect there to be any prospective impact on the compliance or availability of the Inventory Facility.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34"/>
        <w:gridCol w:w="10033"/>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34" w:type="dxa"/>
            <w:tcBorders/>
            <w:shd w:fill="FFFFFF" w:val="clear"/>
            <w:vAlign w:val="center"/>
          </w:tcPr>
          <w:p>
            <w:pPr>
              <w:pStyle w:val="TableContents"/>
              <w:bidi w:val="0"/>
              <w:spacing w:before="0" w:after="283"/>
              <w:jc w:val="left"/>
              <w:rPr>
                <w:rFonts w:ascii="Times New Roman;Times;Serif" w:hAnsi="Times New Roman;Times;Serif"/>
                <w:sz w:val="20"/>
              </w:rPr>
            </w:pPr>
            <w:bookmarkStart w:id="334" w:name="xdx_F09_zIKin5kanwV4"/>
            <w:bookmarkEnd w:id="334"/>
            <w:r>
              <w:rPr>
                <w:rFonts w:ascii="Times New Roman;Times;Serif" w:hAnsi="Times New Roman;Times;Serif"/>
                <w:sz w:val="20"/>
              </w:rPr>
              <w:t>5)</w:t>
            </w:r>
          </w:p>
        </w:tc>
        <w:tc>
          <w:tcPr>
            <w:tcW w:w="10033" w:type="dxa"/>
            <w:tcBorders/>
            <w:shd w:fill="FFFFFF" w:val="clear"/>
            <w:vAlign w:val="center"/>
          </w:tcPr>
          <w:p>
            <w:pPr>
              <w:pStyle w:val="TableContents"/>
              <w:bidi w:val="0"/>
              <w:spacing w:before="0" w:after="283"/>
              <w:jc w:val="both"/>
              <w:rPr>
                <w:rFonts w:ascii="Times New Roman;Times;Serif" w:hAnsi="Times New Roman;Times;Serif"/>
                <w:sz w:val="20"/>
              </w:rPr>
            </w:pPr>
            <w:bookmarkStart w:id="335" w:name="xdx_F16_zg46gbdexUJ7"/>
            <w:bookmarkEnd w:id="335"/>
            <w:r>
              <w:rPr>
                <w:rFonts w:ascii="Times New Roman;Times;Serif" w:hAnsi="Times New Roman;Times;Serif"/>
                <w:sz w:val="20"/>
              </w:rPr>
              <w:t xml:space="preserve">On January 28, 2022, the Company entered into an additional Business Loan Agreement (the “New Term Loan Agreement”) with Strandler, LLC, which effectively transferred or assigned the Term Loan to Strandler, LLC from Beachcorp, LLC. Interest on the New Term Loan is at the </w:t>
            </w:r>
            <w:bookmarkStart w:id="336" w:name="xdx_905_eus-gaap--DebtInstrumentDescript"/>
            <w:bookmarkEnd w:id="336"/>
            <w:r>
              <w:rPr>
                <w:rFonts w:ascii="Times New Roman;Times;Serif" w:hAnsi="Times New Roman;Times;Serif"/>
                <w:sz w:val="20"/>
              </w:rPr>
              <w:t xml:space="preserve">prime rate plus </w:t>
            </w:r>
            <w:bookmarkStart w:id="337" w:name="xdx_909_eus-gaap--DebtInstrumentBasisSpr"/>
            <w:bookmarkEnd w:id="337"/>
            <w:r>
              <w:rPr>
                <w:rFonts w:ascii="Times New Roman;Times;Serif" w:hAnsi="Times New Roman;Times;Serif"/>
                <w:sz w:val="20"/>
              </w:rPr>
              <w:t xml:space="preserve">0.75%. Strandler, LLC is also an affiliate of Bradford T. Whitmore. On March 1, 2024, the company entered into a Second Amendment to the Business Loan Agreement extending the maturity of the Term Maturity Note to </w:t>
            </w:r>
            <w:bookmarkStart w:id="338" w:name="xdx_90A_eus-gaap--LineOfCreditFacilityEx"/>
            <w:bookmarkEnd w:id="338"/>
            <w:r>
              <w:rPr>
                <w:rFonts w:ascii="Times New Roman;Times;Serif" w:hAnsi="Times New Roman;Times;Serif"/>
                <w:sz w:val="20"/>
              </w:rPr>
              <w:t xml:space="preserve">October 1, 2025. On May 27, 2025, the Company entered into a Third Amendment to the Business Loan Agreement extending the maturity of the Term Maturity Note to </w:t>
            </w:r>
            <w:bookmarkStart w:id="339" w:name="xdx_908_eus-gaap--LineOfCreditFacilityEx"/>
            <w:bookmarkEnd w:id="339"/>
            <w:r>
              <w:rPr>
                <w:rFonts w:ascii="Times New Roman;Times;Serif" w:hAnsi="Times New Roman;Times;Serif"/>
                <w:sz w:val="20"/>
              </w:rPr>
              <w:t>April 30, 2027.</w:t>
            </w:r>
          </w:p>
        </w:tc>
      </w:tr>
    </w:tbl>
    <w:p>
      <w:pPr>
        <w:pStyle w:val="TextBody"/>
        <w:bidi w:val="0"/>
        <w:spacing w:before="0" w:after="0"/>
        <w:jc w:val="left"/>
        <w:rPr>
          <w:caps w:val="false"/>
          <w:smallCaps w:val="false"/>
        </w:rPr>
      </w:pPr>
      <w:bookmarkStart w:id="340" w:name="xdx_8A1_zDqqwZiIlBcb"/>
      <w:bookmarkEnd w:id="340"/>
      <w:r>
        <w:rPr>
          <w:caps w:val="false"/>
          <w:smallCaps w:val="false"/>
        </w:rPr>
        <w:t> </w:t>
      </w:r>
    </w:p>
    <w:p>
      <w:pPr>
        <w:pStyle w:val="TextBody"/>
        <w:bidi w:val="0"/>
        <w:spacing w:before="0" w:after="0"/>
        <w:ind w:left="9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the line of credit – accounts receivable as current because we are required to pay back the borrowings as cash is received from our customers. The Company’s remaining debt is presented within the Consolidated Balance Sheet as of June 30, 2026, and December 31, 2025, in accordance with the maturity dates in the financing agreements. The Company’s loan agreements with Strandler, LLC and Beachcorp, LLC currently are set to expire on April 30, 2027, which could become an operating risk if we are not able to refinance or extend the maturity dates. It is the Company’s intention to refinance or extend the maturity dates for the debt held with Strandler, LLC and Beachcorp, LL</w:t>
      </w:r>
    </w:p>
    <w:p>
      <w:pPr>
        <w:pStyle w:val="TextBody"/>
        <w:bidi w:val="0"/>
        <w:spacing w:before="0" w:after="0"/>
        <w:ind w:left="90" w:right="0" w:firstLine="63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Beachcorp, LLC and Strandler, LLC are affiliates of Mr. Bradford T. Whitmore, who beneficially owns a majority of the Company’s common stock and is the brother of Ms. R. Janet Whitmore, a director of the Company and the chair of the Company’s board of directors. The A/R Revolver Facility, the Inventory Facility and the New Term Loan are all secured by all the unencumbered assets of the Company and subordinated to the Company’s credit facility with Libertyville Bank &amp; Trust.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1" w:name="xdx_89B_eus-gaap--ScheduleOfRelatedParty"/>
      <w:bookmarkEnd w:id="341"/>
      <w:r>
        <w:rPr>
          <w:rFonts w:ascii="Times New Roman;Times;Serif" w:hAnsi="Times New Roman;Times;Serif"/>
          <w:b w:val="false"/>
          <w:i w:val="false"/>
          <w:caps w:val="false"/>
          <w:smallCaps w:val="false"/>
          <w:sz w:val="20"/>
        </w:rPr>
        <w:t>Related party interest expense consists of the following:</w:t>
      </w:r>
    </w:p>
    <w:tbl>
      <w:tblPr>
        <w:tblW w:w="7541" w:type="dxa"/>
        <w:jc w:val="left"/>
        <w:tblInd w:w="0" w:type="dxa"/>
        <w:tblLayout w:type="fixed"/>
        <w:tblCellMar>
          <w:top w:w="0" w:type="dxa"/>
          <w:left w:w="0" w:type="dxa"/>
          <w:bottom w:w="0" w:type="dxa"/>
          <w:right w:w="0" w:type="dxa"/>
        </w:tblCellMar>
      </w:tblPr>
      <w:tblGrid>
        <w:gridCol w:w="2570"/>
        <w:gridCol w:w="60"/>
        <w:gridCol w:w="298"/>
        <w:gridCol w:w="798"/>
        <w:gridCol w:w="143"/>
        <w:gridCol w:w="143"/>
        <w:gridCol w:w="298"/>
        <w:gridCol w:w="798"/>
        <w:gridCol w:w="60"/>
        <w:gridCol w:w="60"/>
        <w:gridCol w:w="269"/>
        <w:gridCol w:w="721"/>
        <w:gridCol w:w="129"/>
        <w:gridCol w:w="129"/>
        <w:gridCol w:w="269"/>
        <w:gridCol w:w="721"/>
        <w:gridCol w:w="75"/>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 w:type="dxa"/>
            <w:tcBorders>
              <w:bottom w:val="single" w:sz="8" w:space="0" w:color="000000"/>
            </w:tcBorders>
            <w:tcMar>
              <w:bottom w:w="28" w:type="dxa"/>
            </w:tcMar>
            <w:vAlign w:val="center"/>
          </w:tcPr>
          <w:p>
            <w:pPr>
              <w:pStyle w:val="TableContents"/>
              <w:bidi w:val="0"/>
              <w:spacing w:before="0" w:after="283"/>
              <w:jc w:val="center"/>
              <w:rPr/>
            </w:pPr>
            <w:r>
              <w:rPr/>
              <w:t> </w:t>
            </w:r>
          </w:p>
        </w:tc>
        <w:tc>
          <w:tcPr>
            <w:tcW w:w="798" w:type="dxa"/>
            <w:tcBorders>
              <w:bottom w:val="single" w:sz="8" w:space="0" w:color="000000"/>
            </w:tcBorders>
            <w:tcMar>
              <w:bottom w:w="28" w:type="dxa"/>
            </w:tcMar>
            <w:vAlign w:val="center"/>
          </w:tcPr>
          <w:p>
            <w:pPr>
              <w:pStyle w:val="TableContents"/>
              <w:bidi w:val="0"/>
              <w:spacing w:before="0" w:after="283"/>
              <w:jc w:val="center"/>
              <w:rPr/>
            </w:pPr>
            <w:r>
              <w:rPr/>
              <w:t> </w:t>
            </w:r>
          </w:p>
        </w:tc>
        <w:tc>
          <w:tcPr>
            <w:tcW w:w="143" w:type="dxa"/>
            <w:tcBorders>
              <w:bottom w:val="single" w:sz="8" w:space="0" w:color="000000"/>
            </w:tcBorders>
            <w:tcMar>
              <w:bottom w:w="28" w:type="dxa"/>
            </w:tcMar>
            <w:vAlign w:val="center"/>
          </w:tcPr>
          <w:p>
            <w:pPr>
              <w:pStyle w:val="TableContents"/>
              <w:bidi w:val="0"/>
              <w:spacing w:before="0" w:after="283"/>
              <w:jc w:val="center"/>
              <w:rPr/>
            </w:pPr>
            <w:r>
              <w:rPr/>
              <w:t> </w:t>
            </w:r>
          </w:p>
        </w:tc>
        <w:tc>
          <w:tcPr>
            <w:tcW w:w="143" w:type="dxa"/>
            <w:tcBorders>
              <w:bottom w:val="single" w:sz="8" w:space="0" w:color="000000"/>
            </w:tcBorders>
            <w:tcMar>
              <w:bottom w:w="28" w:type="dxa"/>
            </w:tcMar>
            <w:vAlign w:val="center"/>
          </w:tcPr>
          <w:p>
            <w:pPr>
              <w:pStyle w:val="TableContents"/>
              <w:bidi w:val="0"/>
              <w:spacing w:before="0" w:after="283"/>
              <w:jc w:val="center"/>
              <w:rPr/>
            </w:pPr>
            <w:r>
              <w:rPr/>
              <w:t> </w:t>
            </w:r>
          </w:p>
        </w:tc>
        <w:tc>
          <w:tcPr>
            <w:tcW w:w="298" w:type="dxa"/>
            <w:tcBorders>
              <w:bottom w:val="single" w:sz="8" w:space="0" w:color="000000"/>
            </w:tcBorders>
            <w:tcMar>
              <w:bottom w:w="28" w:type="dxa"/>
            </w:tcMar>
            <w:vAlign w:val="center"/>
          </w:tcPr>
          <w:p>
            <w:pPr>
              <w:pStyle w:val="TableContents"/>
              <w:bidi w:val="0"/>
              <w:spacing w:before="0" w:after="283"/>
              <w:jc w:val="center"/>
              <w:rPr/>
            </w:pPr>
            <w:r>
              <w:rPr/>
              <w:t> </w:t>
            </w:r>
          </w:p>
        </w:tc>
        <w:tc>
          <w:tcPr>
            <w:tcW w:w="798"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 w:type="dxa"/>
            <w:tcBorders>
              <w:bottom w:val="single" w:sz="8" w:space="0" w:color="000000"/>
            </w:tcBorders>
            <w:tcMar>
              <w:bottom w:w="28" w:type="dxa"/>
            </w:tcMar>
            <w:vAlign w:val="center"/>
          </w:tcPr>
          <w:p>
            <w:pPr>
              <w:pStyle w:val="TableContents"/>
              <w:bidi w:val="0"/>
              <w:spacing w:before="0" w:after="283"/>
              <w:jc w:val="center"/>
              <w:rPr/>
            </w:pPr>
            <w:r>
              <w:rPr/>
              <w:t> </w:t>
            </w:r>
          </w:p>
        </w:tc>
        <w:tc>
          <w:tcPr>
            <w:tcW w:w="721" w:type="dxa"/>
            <w:tcBorders>
              <w:bottom w:val="single" w:sz="8" w:space="0" w:color="000000"/>
            </w:tcBorders>
            <w:tcMar>
              <w:bottom w:w="28" w:type="dxa"/>
            </w:tcMar>
            <w:vAlign w:val="center"/>
          </w:tcPr>
          <w:p>
            <w:pPr>
              <w:pStyle w:val="TableContents"/>
              <w:bidi w:val="0"/>
              <w:spacing w:before="0" w:after="283"/>
              <w:jc w:val="center"/>
              <w:rPr/>
            </w:pPr>
            <w:r>
              <w:rPr/>
              <w:t> </w:t>
            </w:r>
          </w:p>
        </w:tc>
        <w:tc>
          <w:tcPr>
            <w:tcW w:w="129" w:type="dxa"/>
            <w:tcBorders>
              <w:bottom w:val="single" w:sz="8" w:space="0" w:color="000000"/>
            </w:tcBorders>
            <w:tcMar>
              <w:bottom w:w="28" w:type="dxa"/>
            </w:tcMar>
            <w:vAlign w:val="center"/>
          </w:tcPr>
          <w:p>
            <w:pPr>
              <w:pStyle w:val="TableContents"/>
              <w:bidi w:val="0"/>
              <w:spacing w:before="0" w:after="283"/>
              <w:jc w:val="center"/>
              <w:rPr/>
            </w:pPr>
            <w:r>
              <w:rPr/>
              <w:t> </w:t>
            </w:r>
          </w:p>
        </w:tc>
        <w:tc>
          <w:tcPr>
            <w:tcW w:w="129" w:type="dxa"/>
            <w:tcBorders>
              <w:bottom w:val="single" w:sz="8" w:space="0" w:color="000000"/>
            </w:tcBorders>
            <w:tcMar>
              <w:bottom w:w="28" w:type="dxa"/>
            </w:tcMar>
            <w:vAlign w:val="center"/>
          </w:tcPr>
          <w:p>
            <w:pPr>
              <w:pStyle w:val="TableContents"/>
              <w:bidi w:val="0"/>
              <w:spacing w:before="0" w:after="283"/>
              <w:jc w:val="center"/>
              <w:rPr/>
            </w:pPr>
            <w:r>
              <w:rPr/>
              <w:t> </w:t>
            </w:r>
          </w:p>
        </w:tc>
        <w:tc>
          <w:tcPr>
            <w:tcW w:w="269" w:type="dxa"/>
            <w:tcBorders>
              <w:bottom w:val="single" w:sz="8" w:space="0" w:color="000000"/>
            </w:tcBorders>
            <w:tcMar>
              <w:bottom w:w="28" w:type="dxa"/>
            </w:tcMar>
            <w:vAlign w:val="center"/>
          </w:tcPr>
          <w:p>
            <w:pPr>
              <w:pStyle w:val="TableContents"/>
              <w:bidi w:val="0"/>
              <w:spacing w:before="0" w:after="283"/>
              <w:jc w:val="center"/>
              <w:rPr/>
            </w:pPr>
            <w:r>
              <w:rPr/>
              <w:t> </w:t>
            </w:r>
          </w:p>
        </w:tc>
        <w:tc>
          <w:tcPr>
            <w:tcW w:w="721" w:type="dxa"/>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June 30,</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 related parties</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2" w:name="xdx_98E_eus-gaap--InterestExpense_c20260"/>
            <w:bookmarkEnd w:id="342"/>
          </w:p>
        </w:tc>
        <w:tc>
          <w:tcPr>
            <w:tcW w:w="7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3" w:name="xdx_985_eus-gaap--InterestExpense_c20250"/>
            <w:bookmarkEnd w:id="343"/>
          </w:p>
        </w:tc>
        <w:tc>
          <w:tcPr>
            <w:tcW w:w="7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4" w:name="xdx_98B_eus-gaap--InterestExpense_c20260"/>
            <w:bookmarkEnd w:id="344"/>
          </w:p>
        </w:tc>
        <w:tc>
          <w:tcPr>
            <w:tcW w:w="7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542</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5" w:name="xdx_987_eus-gaap--InterestExpense_c20250"/>
            <w:bookmarkEnd w:id="345"/>
          </w:p>
        </w:tc>
        <w:tc>
          <w:tcPr>
            <w:tcW w:w="7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consists of the following:</w:t>
      </w:r>
    </w:p>
    <w:p>
      <w:pPr>
        <w:pStyle w:val="TextBody"/>
        <w:bidi w:val="0"/>
        <w:spacing w:before="0" w:after="0"/>
        <w:ind w:left="0" w:right="0" w:hanging="0"/>
        <w:jc w:val="both"/>
        <w:rPr>
          <w:caps w:val="false"/>
          <w:smallCaps w:val="false"/>
        </w:rPr>
      </w:pPr>
      <w:r>
        <w:rPr>
          <w:caps w:val="false"/>
          <w:smallCaps w:val="false"/>
        </w:rPr>
        <w:t> </w:t>
      </w:r>
    </w:p>
    <w:tbl>
      <w:tblPr>
        <w:tblW w:w="6373" w:type="dxa"/>
        <w:jc w:val="left"/>
        <w:tblInd w:w="0" w:type="dxa"/>
        <w:tblLayout w:type="fixed"/>
        <w:tblCellMar>
          <w:top w:w="0" w:type="dxa"/>
          <w:left w:w="0" w:type="dxa"/>
          <w:bottom w:w="0" w:type="dxa"/>
          <w:right w:w="0" w:type="dxa"/>
        </w:tblCellMar>
      </w:tblPr>
      <w:tblGrid>
        <w:gridCol w:w="3290"/>
        <w:gridCol w:w="60"/>
        <w:gridCol w:w="417"/>
        <w:gridCol w:w="772"/>
        <w:gridCol w:w="60"/>
        <w:gridCol w:w="60"/>
        <w:gridCol w:w="577"/>
        <w:gridCol w:w="1062"/>
        <w:gridCol w:w="7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interest expense, related parties</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6" w:name="xdx_98E_eus-gaap--InterestPayableCurrent"/>
            <w:bookmarkEnd w:id="346"/>
          </w:p>
        </w:tc>
        <w:tc>
          <w:tcPr>
            <w:tcW w:w="7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7" w:name="xdx_989_eus-gaap--InterestPayableCurrent"/>
            <w:bookmarkEnd w:id="347"/>
          </w:p>
        </w:tc>
        <w:tc>
          <w:tcPr>
            <w:tcW w:w="10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balances associated with related parties are as follows:</w:t>
      </w:r>
    </w:p>
    <w:p>
      <w:pPr>
        <w:pStyle w:val="TextBody"/>
        <w:bidi w:val="0"/>
        <w:spacing w:before="0" w:after="0"/>
        <w:ind w:left="0" w:right="0" w:hanging="0"/>
        <w:jc w:val="both"/>
        <w:rPr>
          <w:caps w:val="false"/>
          <w:smallCaps w:val="false"/>
        </w:rPr>
      </w:pPr>
      <w:r>
        <w:rPr>
          <w:caps w:val="false"/>
          <w:smallCaps w:val="false"/>
        </w:rPr>
        <w:t> </w:t>
      </w:r>
    </w:p>
    <w:tbl>
      <w:tblPr>
        <w:tblW w:w="4453" w:type="dxa"/>
        <w:jc w:val="left"/>
        <w:tblInd w:w="0" w:type="dxa"/>
        <w:tblLayout w:type="fixed"/>
        <w:tblCellMar>
          <w:top w:w="0" w:type="dxa"/>
          <w:left w:w="0" w:type="dxa"/>
          <w:bottom w:w="0" w:type="dxa"/>
          <w:right w:w="0" w:type="dxa"/>
        </w:tblCellMar>
      </w:tblPr>
      <w:tblGrid>
        <w:gridCol w:w="1370"/>
        <w:gridCol w:w="60"/>
        <w:gridCol w:w="208"/>
        <w:gridCol w:w="981"/>
        <w:gridCol w:w="60"/>
        <w:gridCol w:w="60"/>
        <w:gridCol w:w="284"/>
        <w:gridCol w:w="1355"/>
        <w:gridCol w:w="75"/>
      </w:tblGrid>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Beachcorp, LLC</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8" w:name="xdx_988_eus-gaap--RelatedPartyTransactio"/>
            <w:bookmarkEnd w:id="348"/>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9" w:name="xdx_982_eus-gaap--RelatedPartyTransactio"/>
            <w:bookmarkEnd w:id="349"/>
          </w:p>
        </w:tc>
        <w:tc>
          <w:tcPr>
            <w:tcW w:w="13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14,267</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Strandler, LLC</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bookmarkStart w:id="350" w:name="xdx_98D_eus-gaap--RelatedPartyTransactio"/>
            <w:bookmarkEnd w:id="350"/>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bookmarkStart w:id="351" w:name="xdx_982_eus-gaap--RelatedPartyTransactio"/>
            <w:bookmarkEnd w:id="351"/>
          </w:p>
        </w:tc>
        <w:tc>
          <w:tcPr>
            <w:tcW w:w="13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2" w:name="xdx_8A5_zaotMxGF62M4"/>
      <w:bookmarkEnd w:id="352"/>
      <w:r>
        <w:rPr>
          <w:caps w:val="false"/>
          <w:smallCaps w:val="false"/>
        </w:rPr>
        <w:t> </w:t>
      </w:r>
    </w:p>
    <w:p>
      <w:pPr>
        <w:pStyle w:val="TextBody"/>
        <w:bidi w:val="0"/>
        <w:spacing w:before="0" w:after="0"/>
        <w:ind w:left="0" w:right="0" w:hanging="0"/>
        <w:jc w:val="both"/>
        <w:rPr>
          <w:caps w:val="false"/>
          <w:smallCaps w:val="false"/>
        </w:rPr>
      </w:pPr>
      <w:bookmarkStart w:id="353" w:name="xdx_81D_zW6ivXoUPQG8"/>
      <w:bookmarkEnd w:id="35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4" w:name="xdx_80A_eus-gaap--InventoryDisclosureTex"/>
      <w:bookmarkEnd w:id="354"/>
      <w:r>
        <w:rPr>
          <w:rFonts w:ascii="Times New Roman;Times;Serif" w:hAnsi="Times New Roman;Times;Serif"/>
          <w:b/>
          <w:i w:val="false"/>
          <w:caps w:val="false"/>
          <w:smallCaps w:val="false"/>
          <w:sz w:val="20"/>
        </w:rPr>
        <w:t xml:space="preserve">(7) </w:t>
      </w:r>
      <w:bookmarkStart w:id="355" w:name="xdx_826_zUOBWtCvfgaj"/>
      <w:bookmarkEnd w:id="355"/>
      <w:r>
        <w:rPr>
          <w:rFonts w:ascii="Times New Roman;Times;Serif" w:hAnsi="Times New Roman;Times;Serif"/>
          <w:b/>
          <w:i w:val="false"/>
          <w:caps w:val="false"/>
          <w:smallCaps w:val="false"/>
          <w:sz w:val="20"/>
        </w:rPr>
        <w:t>Inventories,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bookmarkStart w:id="356" w:name="xdx_890_eus-gaap--ScheduleOfInventoryCur"/>
      <w:bookmarkEnd w:id="356"/>
      <w:r>
        <w:rPr>
          <w:rFonts w:ascii="Times New Roman;Times;Serif" w:hAnsi="Times New Roman;Times;Serif"/>
          <w:b w:val="false"/>
          <w:i w:val="false"/>
          <w:caps w:val="false"/>
          <w:smallCaps w:val="false"/>
          <w:sz w:val="20"/>
        </w:rPr>
        <w:t>Inventories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5243" w:type="dxa"/>
        <w:jc w:val="left"/>
        <w:tblInd w:w="0" w:type="dxa"/>
        <w:tblLayout w:type="fixed"/>
        <w:tblCellMar>
          <w:top w:w="0" w:type="dxa"/>
          <w:left w:w="0" w:type="dxa"/>
          <w:bottom w:w="0" w:type="dxa"/>
          <w:right w:w="0" w:type="dxa"/>
        </w:tblCellMar>
      </w:tblPr>
      <w:tblGrid>
        <w:gridCol w:w="2120"/>
        <w:gridCol w:w="60"/>
        <w:gridCol w:w="208"/>
        <w:gridCol w:w="981"/>
        <w:gridCol w:w="80"/>
        <w:gridCol w:w="60"/>
        <w:gridCol w:w="253"/>
        <w:gridCol w:w="1386"/>
        <w:gridCol w:w="95"/>
      </w:tblGrid>
      <w:tr>
        <w:trPr/>
        <w:tc>
          <w:tcPr>
            <w:tcW w:w="21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57" w:name="xdx_499_20260630_z4Z8vRgY8GS3"/>
            <w:bookmarkEnd w:id="357"/>
          </w:p>
        </w:tc>
        <w:tc>
          <w:tcPr>
            <w:tcW w:w="118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8" w:name="xdx_49F_20251231_zSaSiafZBlo6"/>
            <w:bookmarkEnd w:id="358"/>
          </w:p>
        </w:tc>
        <w:tc>
          <w:tcPr>
            <w:tcW w:w="163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p>
        </w:tc>
        <w:tc>
          <w:tcPr>
            <w:tcW w:w="95" w:type="dxa"/>
            <w:tcBorders/>
            <w:vAlign w:val="center"/>
          </w:tcPr>
          <w:p>
            <w:pPr>
              <w:pStyle w:val="TableContents"/>
              <w:bidi w:val="0"/>
              <w:spacing w:before="0" w:after="283"/>
              <w:jc w:val="center"/>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top w:val="single" w:sz="8" w:space="0" w:color="000000"/>
            </w:tcBorders>
            <w:tcMar>
              <w:top w:w="28" w:type="dxa"/>
            </w:tcMar>
            <w:vAlign w:val="center"/>
          </w:tcPr>
          <w:p>
            <w:pPr>
              <w:pStyle w:val="TableContents"/>
              <w:bidi w:val="0"/>
              <w:spacing w:before="0" w:after="283"/>
              <w:jc w:val="left"/>
              <w:rPr/>
            </w:pPr>
            <w:r>
              <w:rPr/>
              <w:t> </w:t>
            </w:r>
          </w:p>
        </w:tc>
        <w:tc>
          <w:tcPr>
            <w:tcW w:w="981" w:type="dxa"/>
            <w:tcBorders>
              <w:top w:val="single" w:sz="8" w:space="0" w:color="000000"/>
            </w:tcBorders>
            <w:tcMar>
              <w:top w:w="28" w:type="dxa"/>
            </w:tcMar>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 w:type="dxa"/>
            <w:tcBorders>
              <w:top w:val="single" w:sz="8" w:space="0" w:color="000000"/>
            </w:tcBorders>
            <w:tcMar>
              <w:top w:w="28" w:type="dxa"/>
            </w:tcMar>
            <w:vAlign w:val="center"/>
          </w:tcPr>
          <w:p>
            <w:pPr>
              <w:pStyle w:val="TableContents"/>
              <w:bidi w:val="0"/>
              <w:spacing w:before="0" w:after="283"/>
              <w:jc w:val="left"/>
              <w:rPr/>
            </w:pPr>
            <w:r>
              <w:rPr/>
              <w:t> </w:t>
            </w:r>
          </w:p>
        </w:tc>
        <w:tc>
          <w:tcPr>
            <w:tcW w:w="1386" w:type="dxa"/>
            <w:tcBorders>
              <w:top w:val="single" w:sz="8" w:space="0" w:color="000000"/>
            </w:tcBorders>
            <w:tcMar>
              <w:top w:w="28"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bookmarkStart w:id="359" w:name="xdx_408_eus-gaap--InventoryRawMaterials_"/>
            <w:bookmarkEnd w:id="359"/>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Raw materials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86" w:type="dxa"/>
            <w:tcBorders/>
            <w:shd w:fill="CCEEFF" w:val="clear"/>
            <w:vAlign w:val="center"/>
          </w:tcPr>
          <w:p>
            <w:pPr>
              <w:pStyle w:val="TableContents"/>
              <w:bidi w:val="0"/>
              <w:spacing w:before="0" w:after="283"/>
              <w:jc w:val="right"/>
              <w:rPr/>
            </w:pPr>
            <w:r>
              <w:rPr/>
              <w:t>13,528</w:t>
            </w:r>
          </w:p>
        </w:tc>
        <w:tc>
          <w:tcPr>
            <w:tcW w:w="95" w:type="dxa"/>
            <w:tcBorders/>
            <w:shd w:fill="CCEEFF" w:val="clear"/>
            <w:vAlign w:val="center"/>
          </w:tcPr>
          <w:p>
            <w:pPr>
              <w:pStyle w:val="TableContents"/>
              <w:bidi w:val="0"/>
              <w:spacing w:before="0" w:after="283"/>
              <w:jc w:val="left"/>
              <w:rPr/>
            </w:pPr>
            <w:r>
              <w:rPr/>
              <w:t> </w:t>
            </w:r>
            <w:bookmarkStart w:id="360" w:name="xdx_406_eus-gaap--InventoryFinishedGoods"/>
            <w:bookmarkEnd w:id="360"/>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Finished goods</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3,515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4,156</w:t>
            </w:r>
          </w:p>
        </w:tc>
        <w:tc>
          <w:tcPr>
            <w:tcW w:w="95" w:type="dxa"/>
            <w:tcBorders/>
            <w:vAlign w:val="center"/>
          </w:tcPr>
          <w:p>
            <w:pPr>
              <w:pStyle w:val="TableContents"/>
              <w:bidi w:val="0"/>
              <w:spacing w:before="0" w:after="283"/>
              <w:jc w:val="left"/>
              <w:rPr/>
            </w:pPr>
            <w:r>
              <w:rPr/>
              <w:t> </w:t>
            </w:r>
            <w:bookmarkStart w:id="361" w:name="xdx_400_eus-gaap--InventoryValuationRese"/>
            <w:bookmarkEnd w:id="361"/>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Inventory reserve</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6" w:type="dxa"/>
            <w:tcBorders>
              <w:bottom w:val="single" w:sz="8" w:space="0" w:color="000000"/>
            </w:tcBorders>
            <w:shd w:fill="CCEC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(2,721</w:t>
            </w:r>
          </w:p>
        </w:tc>
        <w:tc>
          <w:tcPr>
            <w:tcW w:w="95" w:type="dxa"/>
            <w:tcBorders/>
            <w:shd w:fill="CCEC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2" w:name="xdx_40C_eus-gaap--InventoryNet_iTI_pn3n3"/>
            <w:bookmarkEnd w:id="362"/>
          </w:p>
        </w:tc>
      </w:tr>
      <w:tr>
        <w:trPr/>
        <w:tc>
          <w:tcPr>
            <w:tcW w:w="2120" w:type="dxa"/>
            <w:tcBorders/>
            <w:vAlign w:val="center"/>
          </w:tcPr>
          <w:p>
            <w:pPr>
              <w:pStyle w:val="TableContents"/>
              <w:bidi w:val="0"/>
              <w:spacing w:before="0" w:after="283"/>
              <w:jc w:val="left"/>
              <w:rPr/>
            </w:pPr>
            <w:r>
              <w:rPr/>
              <w:t>     </w:t>
            </w:r>
            <w:r>
              <w:rPr>
                <w:rFonts w:ascii="Times New Roman;Times;Serif" w:hAnsi="Times New Roman;Times;Serif"/>
                <w:sz w:val="20"/>
              </w:rPr>
              <w:t xml:space="preserve">Total Inventories, net </w:t>
            </w:r>
          </w:p>
        </w:tc>
        <w:tc>
          <w:tcPr>
            <w:tcW w:w="60" w:type="dxa"/>
            <w:tcBorders/>
            <w:vAlign w:val="center"/>
          </w:tcPr>
          <w:p>
            <w:pPr>
              <w:pStyle w:val="TableContents"/>
              <w:bidi w:val="0"/>
              <w:spacing w:before="0" w:after="283"/>
              <w:jc w:val="left"/>
              <w:rPr/>
            </w:pPr>
            <w:r>
              <w:rPr/>
              <w:t> </w:t>
            </w:r>
          </w:p>
        </w:tc>
        <w:tc>
          <w:tcPr>
            <w:tcW w:w="208" w:type="dxa"/>
            <w:tcBorders>
              <w:bottom w:val="double" w:sz="4"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4"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12,957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 w:type="dxa"/>
            <w:tcBorders>
              <w:bottom w:val="double" w:sz="4"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86" w:type="dxa"/>
            <w:tcBorders>
              <w:bottom w:val="double" w:sz="4"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14,963</w:t>
            </w:r>
          </w:p>
        </w:tc>
        <w:tc>
          <w:tcPr>
            <w:tcW w:w="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3" w:name="xdx_8A9_zzG1lqUlCeHe"/>
      <w:bookmarkEnd w:id="363"/>
      <w:r>
        <w:rPr>
          <w:caps w:val="false"/>
          <w:smallCaps w:val="false"/>
        </w:rPr>
        <w:t> </w:t>
      </w:r>
    </w:p>
    <w:p>
      <w:pPr>
        <w:pStyle w:val="TextBody"/>
        <w:bidi w:val="0"/>
        <w:spacing w:before="0" w:after="0"/>
        <w:ind w:left="0" w:right="0" w:hanging="0"/>
        <w:jc w:val="both"/>
        <w:rPr>
          <w:caps w:val="false"/>
          <w:smallCaps w:val="false"/>
        </w:rPr>
      </w:pPr>
      <w:bookmarkStart w:id="364" w:name="xdx_81E_z64ZXPvGWAF9"/>
      <w:bookmarkEnd w:id="364"/>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5" w:name="xdx_807_eus-gaap--ConcentrationRiskDiscl"/>
      <w:bookmarkEnd w:id="365"/>
      <w:r>
        <w:rPr>
          <w:rFonts w:ascii="Times New Roman;Times;Serif" w:hAnsi="Times New Roman;Times;Serif"/>
          <w:b/>
          <w:i w:val="false"/>
          <w:caps w:val="false"/>
          <w:smallCaps w:val="false"/>
          <w:sz w:val="20"/>
        </w:rPr>
        <w:t xml:space="preserve">(8) </w:t>
      </w:r>
      <w:bookmarkStart w:id="366" w:name="xdx_82D_zOwoPVv2qA9l"/>
      <w:bookmarkEnd w:id="366"/>
      <w:r>
        <w:rPr>
          <w:rFonts w:ascii="Times New Roman;Times;Serif" w:hAnsi="Times New Roman;Times;Serif"/>
          <w:b/>
          <w:i w:val="false"/>
          <w:caps w:val="false"/>
          <w:smallCaps w:val="false"/>
          <w:sz w:val="20"/>
        </w:rPr>
        <w:t>Significant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67" w:name="xdx_890_eus-gaap--SchedulesOfConcentrati"/>
      <w:bookmarkEnd w:id="367"/>
      <w:r>
        <w:rPr>
          <w:rFonts w:ascii="Times New Roman;Times;Serif" w:hAnsi="Times New Roman;Times;Serif"/>
          <w:b w:val="false"/>
          <w:i w:val="false"/>
          <w:caps w:val="false"/>
          <w:smallCaps w:val="false"/>
          <w:sz w:val="20"/>
        </w:rPr>
        <w:t>We had three significant customers for the three and six months ended June 30, 2026,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68" w:name="xdx_8BB_zWqjDVvYejC9"/>
      <w:bookmarkEnd w:id="368"/>
      <w:r>
        <w:rPr>
          <w:rFonts w:ascii="Times New Roman;Times;Serif" w:hAnsi="Times New Roman;Times;Serif"/>
          <w:b w:val="false"/>
          <w:i w:val="false"/>
          <w:caps w:val="false"/>
          <w:smallCaps w:val="false"/>
          <w:sz w:val="20"/>
        </w:rPr>
        <w:t>Revenues from these three customers, as a percentage of total Company revenue, was approximately:</w:t>
      </w:r>
    </w:p>
    <w:p>
      <w:pPr>
        <w:pStyle w:val="TextBody"/>
        <w:bidi w:val="0"/>
        <w:spacing w:before="0" w:after="0"/>
        <w:ind w:left="0" w:right="0" w:firstLine="720"/>
        <w:jc w:val="both"/>
        <w:rPr>
          <w:caps w:val="false"/>
          <w:smallCaps w:val="false"/>
        </w:rPr>
      </w:pPr>
      <w:r>
        <w:rPr>
          <w:caps w:val="false"/>
          <w:smallCaps w:val="false"/>
        </w:rPr>
        <w:t> </w:t>
      </w:r>
    </w:p>
    <w:tbl>
      <w:tblPr>
        <w:tblW w:w="7029" w:type="dxa"/>
        <w:jc w:val="left"/>
        <w:tblInd w:w="0" w:type="dxa"/>
        <w:tblLayout w:type="fixed"/>
        <w:tblCellMar>
          <w:top w:w="0" w:type="dxa"/>
          <w:left w:w="0" w:type="dxa"/>
          <w:bottom w:w="0" w:type="dxa"/>
          <w:right w:w="0" w:type="dxa"/>
        </w:tblCellMar>
      </w:tblPr>
      <w:tblGrid>
        <w:gridCol w:w="1010"/>
        <w:gridCol w:w="60"/>
        <w:gridCol w:w="60"/>
        <w:gridCol w:w="2090"/>
        <w:gridCol w:w="60"/>
        <w:gridCol w:w="129"/>
        <w:gridCol w:w="494"/>
        <w:gridCol w:w="398"/>
        <w:gridCol w:w="129"/>
        <w:gridCol w:w="129"/>
        <w:gridCol w:w="494"/>
        <w:gridCol w:w="185"/>
        <w:gridCol w:w="60"/>
        <w:gridCol w:w="111"/>
        <w:gridCol w:w="427"/>
        <w:gridCol w:w="344"/>
        <w:gridCol w:w="111"/>
        <w:gridCol w:w="111"/>
        <w:gridCol w:w="427"/>
        <w:gridCol w:w="200"/>
      </w:tblGrid>
      <w:tr>
        <w:trPr/>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 xml:space="preserve">Three months ended </w:t>
            </w:r>
            <w:r>
              <w:rPr>
                <w:rFonts w:ascii="Times New Roman;Times;Serif" w:hAnsi="Times New Roman;Times;Serif"/>
                <w:sz w:val="20"/>
              </w:rPr>
              <w:br/>
            </w:r>
            <w:r>
              <w:rPr>
                <w:rFonts w:ascii="Times New Roman;Times;Serif" w:hAnsi="Times New Roman;Times;Serif"/>
                <w:b/>
                <w:sz w:val="20"/>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 xml:space="preserve">Six months ended </w:t>
            </w:r>
            <w:r>
              <w:rPr>
                <w:rFonts w:ascii="Times New Roman;Times;Serif" w:hAnsi="Times New Roman;Times;Serif"/>
                <w:sz w:val="20"/>
              </w:rPr>
              <w:br/>
            </w:r>
            <w:r>
              <w:rPr>
                <w:rFonts w:ascii="Times New Roman;Times;Serif" w:hAnsi="Times New Roman;Times;Serif"/>
                <w:b/>
                <w:sz w:val="20"/>
              </w:rPr>
              <w:t>June 30,</w:t>
            </w:r>
          </w:p>
        </w:tc>
        <w:tc>
          <w:tcPr>
            <w:tcW w:w="200"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Customer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180"/>
              <w:jc w:val="right"/>
              <w:rPr/>
            </w:pPr>
            <w:r>
              <w:rPr/>
              <w:t> </w:t>
            </w:r>
          </w:p>
        </w:tc>
        <w:tc>
          <w:tcPr>
            <w:tcW w:w="20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Product Category</w:t>
            </w:r>
          </w:p>
        </w:tc>
        <w:tc>
          <w:tcPr>
            <w:tcW w:w="60" w:type="dxa"/>
            <w:tcBorders/>
            <w:vAlign w:val="center"/>
          </w:tcPr>
          <w:p>
            <w:pPr>
              <w:pStyle w:val="TableContents"/>
              <w:bidi w:val="0"/>
              <w:spacing w:before="0" w:after="283"/>
              <w:jc w:val="left"/>
              <w:rPr/>
            </w:pPr>
            <w:r>
              <w:rPr/>
              <w:t> </w:t>
            </w:r>
          </w:p>
        </w:tc>
        <w:tc>
          <w:tcPr>
            <w:tcW w:w="6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398"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right"/>
              <w:rPr/>
            </w:pPr>
            <w:r>
              <w:rPr/>
              <w:t> </w:t>
            </w:r>
          </w:p>
        </w:tc>
        <w:tc>
          <w:tcPr>
            <w:tcW w:w="6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5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344"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5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0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180"/>
              <w:jc w:val="left"/>
              <w:rPr/>
            </w:pPr>
            <w:r>
              <w:rPr/>
              <w:t> </w:t>
            </w:r>
          </w:p>
        </w:tc>
        <w:tc>
          <w:tcPr>
            <w:tcW w:w="2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Consumer Products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sz w:val="20"/>
              </w:rPr>
            </w:pPr>
            <w:bookmarkStart w:id="369" w:name="xdx_90B_eus-gaap--ConcentrationRiskPerce"/>
            <w:bookmarkEnd w:id="369"/>
            <w:r>
              <w:rPr>
                <w:rFonts w:ascii="Times New Roman;Times;Serif" w:hAnsi="Times New Roman;Times;Serif"/>
                <w:sz w:val="20"/>
              </w:rPr>
              <w:t>58</w:t>
            </w:r>
          </w:p>
        </w:tc>
        <w:tc>
          <w:tcPr>
            <w:tcW w:w="3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sz w:val="20"/>
              </w:rPr>
            </w:pPr>
            <w:bookmarkStart w:id="370" w:name="xdx_903_eus-gaap--ConcentrationRiskPerce"/>
            <w:bookmarkEnd w:id="370"/>
            <w:r>
              <w:rPr>
                <w:rFonts w:ascii="Times New Roman;Times;Serif" w:hAnsi="Times New Roman;Times;Serif"/>
                <w:sz w:val="20"/>
              </w:rPr>
              <w:t>33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right"/>
              <w:rPr>
                <w:rFonts w:ascii="Times New Roman;Times;Serif" w:hAnsi="Times New Roman;Times;Serif"/>
                <w:sz w:val="20"/>
              </w:rPr>
            </w:pPr>
            <w:bookmarkStart w:id="371" w:name="xdx_90F_eus-gaap--ConcentrationRiskPerce"/>
            <w:bookmarkEnd w:id="371"/>
            <w:r>
              <w:rPr>
                <w:rFonts w:ascii="Times New Roman;Times;Serif" w:hAnsi="Times New Roman;Times;Serif"/>
                <w:sz w:val="20"/>
              </w:rPr>
              <w:t>48</w:t>
            </w:r>
          </w:p>
        </w:tc>
        <w:tc>
          <w:tcPr>
            <w:tcW w:w="3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right"/>
              <w:rPr>
                <w:rFonts w:ascii="Times New Roman;Times;Serif" w:hAnsi="Times New Roman;Times;Serif"/>
                <w:sz w:val="20"/>
              </w:rPr>
            </w:pPr>
            <w:bookmarkStart w:id="372" w:name="xdx_900_eus-gaap--ConcentrationRiskPerce"/>
            <w:bookmarkEnd w:id="372"/>
            <w:r>
              <w:rPr>
                <w:rFonts w:ascii="Times New Roman;Times;Serif" w:hAnsi="Times New Roman;Times;Serif"/>
                <w:sz w:val="20"/>
              </w:rPr>
              <w:t>23</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180"/>
              <w:jc w:val="left"/>
              <w:rPr/>
            </w:pPr>
            <w:r>
              <w:rPr/>
              <w:t> </w:t>
            </w:r>
          </w:p>
        </w:tc>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Consumer Products</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494" w:type="dxa"/>
            <w:tcBorders/>
            <w:vAlign w:val="center"/>
          </w:tcPr>
          <w:p>
            <w:pPr>
              <w:pStyle w:val="TableContents"/>
              <w:bidi w:val="0"/>
              <w:spacing w:before="0" w:after="283"/>
              <w:jc w:val="right"/>
              <w:rPr>
                <w:rFonts w:ascii="Times New Roman;Times;Serif" w:hAnsi="Times New Roman;Times;Serif"/>
                <w:sz w:val="20"/>
              </w:rPr>
            </w:pPr>
            <w:bookmarkStart w:id="373" w:name="xdx_906_eus-gaap--ConcentrationRiskPerce"/>
            <w:bookmarkEnd w:id="373"/>
            <w:r>
              <w:rPr>
                <w:rFonts w:ascii="Times New Roman;Times;Serif" w:hAnsi="Times New Roman;Times;Serif"/>
                <w:sz w:val="20"/>
              </w:rPr>
              <w:t>7</w:t>
            </w:r>
          </w:p>
        </w:tc>
        <w:tc>
          <w:tcPr>
            <w:tcW w:w="3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494" w:type="dxa"/>
            <w:tcBorders/>
            <w:vAlign w:val="center"/>
          </w:tcPr>
          <w:p>
            <w:pPr>
              <w:pStyle w:val="TableContents"/>
              <w:bidi w:val="0"/>
              <w:spacing w:before="0" w:after="283"/>
              <w:jc w:val="right"/>
              <w:rPr>
                <w:rFonts w:ascii="Times New Roman;Times;Serif" w:hAnsi="Times New Roman;Times;Serif"/>
                <w:sz w:val="20"/>
              </w:rPr>
            </w:pPr>
            <w:bookmarkStart w:id="374" w:name="xdx_909_eus-gaap--ConcentrationRiskPerce"/>
            <w:bookmarkEnd w:id="374"/>
            <w:r>
              <w:rPr>
                <w:rFonts w:ascii="Times New Roman;Times;Serif" w:hAnsi="Times New Roman;Times;Serif"/>
                <w:sz w:val="20"/>
              </w:rPr>
              <w:t>27</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right"/>
              <w:rPr>
                <w:rFonts w:ascii="Times New Roman;Times;Serif" w:hAnsi="Times New Roman;Times;Serif"/>
                <w:sz w:val="20"/>
              </w:rPr>
            </w:pPr>
            <w:bookmarkStart w:id="375" w:name="xdx_90A_eus-gaap--ConcentrationRiskPerce"/>
            <w:bookmarkEnd w:id="375"/>
            <w:r>
              <w:rPr>
                <w:rFonts w:ascii="Times New Roman;Times;Serif" w:hAnsi="Times New Roman;Times;Serif"/>
                <w:sz w:val="20"/>
              </w:rPr>
              <w:t>1</w:t>
            </w:r>
          </w:p>
        </w:tc>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right"/>
              <w:rPr>
                <w:rFonts w:ascii="Times New Roman;Times;Serif" w:hAnsi="Times New Roman;Times;Serif"/>
                <w:sz w:val="20"/>
              </w:rPr>
            </w:pPr>
            <w:bookmarkStart w:id="376" w:name="xdx_900_eus-gaap--ConcentrationRiskPerce"/>
            <w:bookmarkEnd w:id="376"/>
            <w:r>
              <w:rPr>
                <w:rFonts w:ascii="Times New Roman;Times;Serif" w:hAnsi="Times New Roman;Times;Serif"/>
                <w:sz w:val="20"/>
              </w:rPr>
              <w:t>19</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180"/>
              <w:jc w:val="left"/>
              <w:rPr/>
            </w:pPr>
            <w:r>
              <w:rPr/>
              <w:t> </w:t>
            </w:r>
          </w:p>
        </w:tc>
        <w:tc>
          <w:tcPr>
            <w:tcW w:w="2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Personal Care Ingredients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sz w:val="20"/>
              </w:rPr>
            </w:pPr>
            <w:bookmarkStart w:id="377" w:name="xdx_903_eus-gaap--ConcentrationRiskPerce"/>
            <w:bookmarkEnd w:id="377"/>
            <w:r>
              <w:rPr>
                <w:rFonts w:ascii="Times New Roman;Times;Serif" w:hAnsi="Times New Roman;Times;Serif"/>
                <w:sz w:val="20"/>
              </w:rPr>
              <w:t>1</w:t>
            </w:r>
          </w:p>
        </w:tc>
        <w:tc>
          <w:tcPr>
            <w:tcW w:w="3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sz w:val="20"/>
              </w:rPr>
            </w:pPr>
            <w:bookmarkStart w:id="378" w:name="xdx_90C_eus-gaap--ConcentrationRiskPerce"/>
            <w:bookmarkEnd w:id="378"/>
            <w:r>
              <w:rPr>
                <w:rFonts w:ascii="Times New Roman;Times;Serif" w:hAnsi="Times New Roman;Times;Serif"/>
                <w:sz w:val="20"/>
              </w:rPr>
              <w:t>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right"/>
              <w:rPr>
                <w:rFonts w:ascii="Times New Roman;Times;Serif" w:hAnsi="Times New Roman;Times;Serif"/>
                <w:sz w:val="20"/>
              </w:rPr>
            </w:pPr>
            <w:bookmarkStart w:id="379" w:name="xdx_90F_eus-gaap--ConcentrationRiskPerce"/>
            <w:bookmarkEnd w:id="379"/>
            <w:r>
              <w:rPr>
                <w:rFonts w:ascii="Times New Roman;Times;Serif" w:hAnsi="Times New Roman;Times;Serif"/>
                <w:sz w:val="20"/>
              </w:rPr>
              <w:t>13</w:t>
            </w:r>
          </w:p>
        </w:tc>
        <w:tc>
          <w:tcPr>
            <w:tcW w:w="3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right"/>
              <w:rPr>
                <w:rFonts w:ascii="Times New Roman;Times;Serif" w:hAnsi="Times New Roman;Times;Serif"/>
                <w:sz w:val="20"/>
              </w:rPr>
            </w:pPr>
            <w:bookmarkStart w:id="380" w:name="xdx_90E_eus-gaap--ConcentrationRiskPerce"/>
            <w:bookmarkEnd w:id="380"/>
            <w:r>
              <w:rPr>
                <w:rFonts w:ascii="Times New Roman;Times;Serif" w:hAnsi="Times New Roman;Times;Serif"/>
                <w:sz w:val="20"/>
              </w:rPr>
              <w:t>12</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180"/>
              <w:jc w:val="left"/>
              <w:rPr/>
            </w:pPr>
            <w:r>
              <w:rPr/>
              <w:t> </w:t>
            </w:r>
          </w:p>
        </w:tc>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vAlign w:val="center"/>
          </w:tcPr>
          <w:p>
            <w:pPr>
              <w:pStyle w:val="TableContents"/>
              <w:bidi w:val="0"/>
              <w:spacing w:before="0" w:after="283"/>
              <w:jc w:val="left"/>
              <w:rPr/>
            </w:pPr>
            <w:r>
              <w:rPr/>
              <w:t> </w:t>
            </w:r>
          </w:p>
        </w:tc>
        <w:tc>
          <w:tcPr>
            <w:tcW w:w="129"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pPr>
            <w:r>
              <w:rPr/>
              <w:t> </w:t>
            </w:r>
          </w:p>
        </w:tc>
        <w:tc>
          <w:tcPr>
            <w:tcW w:w="494"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right"/>
              <w:rPr>
                <w:rFonts w:ascii="Times New Roman;Times;Serif" w:hAnsi="Times New Roman;Times;Serif"/>
                <w:sz w:val="20"/>
              </w:rPr>
            </w:pPr>
            <w:bookmarkStart w:id="381" w:name="xdx_90B_eus-gaap--ConcentrationRiskPerce"/>
            <w:bookmarkEnd w:id="381"/>
            <w:r>
              <w:rPr>
                <w:rFonts w:ascii="Times New Roman;Times;Serif" w:hAnsi="Times New Roman;Times;Serif"/>
                <w:sz w:val="20"/>
              </w:rPr>
              <w:t>66</w:t>
            </w:r>
          </w:p>
        </w:tc>
        <w:tc>
          <w:tcPr>
            <w:tcW w:w="3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9" w:type="dxa"/>
            <w:tcBorders/>
            <w:vAlign w:val="center"/>
          </w:tcPr>
          <w:p>
            <w:pPr>
              <w:pStyle w:val="TableContents"/>
              <w:bidi w:val="0"/>
              <w:spacing w:before="0" w:after="283"/>
              <w:jc w:val="left"/>
              <w:rPr/>
            </w:pPr>
            <w:r>
              <w:rPr/>
              <w:t> </w:t>
            </w:r>
          </w:p>
        </w:tc>
        <w:tc>
          <w:tcPr>
            <w:tcW w:w="129"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pPr>
            <w:r>
              <w:rPr/>
              <w:t> </w:t>
            </w:r>
          </w:p>
        </w:tc>
        <w:tc>
          <w:tcPr>
            <w:tcW w:w="494"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right"/>
              <w:rPr>
                <w:rFonts w:ascii="Times New Roman;Times;Serif" w:hAnsi="Times New Roman;Times;Serif"/>
                <w:sz w:val="20"/>
              </w:rPr>
            </w:pPr>
            <w:bookmarkStart w:id="382" w:name="xdx_909_eus-gaap--ConcentrationRiskPerce"/>
            <w:bookmarkEnd w:id="382"/>
            <w:r>
              <w:rPr>
                <w:rFonts w:ascii="Times New Roman;Times;Serif" w:hAnsi="Times New Roman;Times;Serif"/>
                <w:sz w:val="20"/>
              </w:rPr>
              <w:t>73</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1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pPr>
            <w:r>
              <w:rPr/>
              <w:t> </w:t>
            </w:r>
          </w:p>
        </w:tc>
        <w:tc>
          <w:tcPr>
            <w:tcW w:w="427"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right"/>
              <w:rPr>
                <w:rFonts w:ascii="Times New Roman;Times;Serif" w:hAnsi="Times New Roman;Times;Serif"/>
                <w:sz w:val="20"/>
              </w:rPr>
            </w:pPr>
            <w:bookmarkStart w:id="383" w:name="xdx_907_eus-gaap--ConcentrationRiskPerce"/>
            <w:bookmarkEnd w:id="383"/>
            <w:r>
              <w:rPr>
                <w:rFonts w:ascii="Times New Roman;Times;Serif" w:hAnsi="Times New Roman;Times;Serif"/>
                <w:sz w:val="20"/>
              </w:rPr>
              <w:t>62</w:t>
            </w:r>
          </w:p>
        </w:tc>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 w:type="dxa"/>
            <w:tcBorders/>
            <w:vAlign w:val="center"/>
          </w:tcPr>
          <w:p>
            <w:pPr>
              <w:pStyle w:val="TableContents"/>
              <w:bidi w:val="0"/>
              <w:spacing w:before="0" w:after="283"/>
              <w:jc w:val="left"/>
              <w:rPr/>
            </w:pPr>
            <w:r>
              <w:rPr/>
              <w:t> </w:t>
            </w:r>
          </w:p>
        </w:tc>
        <w:tc>
          <w:tcPr>
            <w:tcW w:w="11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pPr>
            <w:r>
              <w:rPr/>
              <w:t> </w:t>
            </w:r>
          </w:p>
        </w:tc>
        <w:tc>
          <w:tcPr>
            <w:tcW w:w="427"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right"/>
              <w:rPr>
                <w:rFonts w:ascii="Times New Roman;Times;Serif" w:hAnsi="Times New Roman;Times;Serif"/>
                <w:sz w:val="20"/>
              </w:rPr>
            </w:pPr>
            <w:bookmarkStart w:id="384" w:name="xdx_901_eus-gaap--ConcentrationRiskPerce"/>
            <w:bookmarkEnd w:id="384"/>
            <w:r>
              <w:rPr>
                <w:rFonts w:ascii="Times New Roman;Times;Serif" w:hAnsi="Times New Roman;Times;Serif"/>
                <w:sz w:val="20"/>
              </w:rPr>
              <w:t>54</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86" w:right="186" w:firstLine="720"/>
        <w:jc w:val="both"/>
        <w:rPr>
          <w:caps w:val="false"/>
          <w:smallCaps w:val="false"/>
        </w:rPr>
      </w:pPr>
      <w:bookmarkStart w:id="385" w:name="xdx_8A8_zQou2oymHAuh"/>
      <w:bookmarkEnd w:id="385"/>
      <w:r>
        <w:rPr>
          <w:caps w:val="false"/>
          <w:smallCaps w:val="false"/>
        </w:rPr>
        <w:t> </w:t>
      </w:r>
    </w:p>
    <w:p>
      <w:pPr>
        <w:pStyle w:val="TextBody"/>
        <w:bidi w:val="0"/>
        <w:spacing w:before="0" w:after="0"/>
        <w:ind w:left="186" w:right="186" w:firstLine="720"/>
        <w:jc w:val="both"/>
        <w:rPr>
          <w:caps w:val="false"/>
          <w:smallCaps w:val="false"/>
        </w:rPr>
      </w:pPr>
      <w:bookmarkStart w:id="386" w:name="xdx_899_ecustom--ContractWithCustomerAcc"/>
      <w:bookmarkEnd w:id="386"/>
      <w:r>
        <w:rPr>
          <w:caps w:val="false"/>
          <w:smallCaps w:val="false"/>
        </w:rPr>
        <w:t> </w:t>
      </w:r>
      <w:r>
        <w:rPr>
          <w:rFonts w:ascii="Times New Roman;Times;Serif" w:hAnsi="Times New Roman;Times;Serif"/>
          <w:b w:val="false"/>
          <w:i w:val="false"/>
          <w:caps w:val="false"/>
          <w:smallCaps w:val="false"/>
          <w:sz w:val="20"/>
        </w:rPr>
        <w:t>Accounts receivable balances for these three customers were approximately:</w:t>
      </w:r>
    </w:p>
    <w:p>
      <w:pPr>
        <w:pStyle w:val="TextBody"/>
        <w:bidi w:val="0"/>
        <w:spacing w:before="0" w:after="0"/>
        <w:ind w:left="186" w:right="186" w:firstLine="720"/>
        <w:jc w:val="both"/>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1010"/>
        <w:gridCol w:w="60"/>
        <w:gridCol w:w="60"/>
        <w:gridCol w:w="2090"/>
        <w:gridCol w:w="60"/>
        <w:gridCol w:w="125"/>
        <w:gridCol w:w="485"/>
        <w:gridCol w:w="80"/>
        <w:gridCol w:w="60"/>
        <w:gridCol w:w="185"/>
        <w:gridCol w:w="485"/>
        <w:gridCol w:w="60"/>
        <w:gridCol w:w="75"/>
      </w:tblGrid>
      <w:tr>
        <w:trPr/>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June 30,</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Customer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180"/>
              <w:jc w:val="right"/>
              <w:rPr/>
            </w:pPr>
            <w:r>
              <w:rPr/>
              <w:t> </w:t>
            </w:r>
          </w:p>
        </w:tc>
        <w:tc>
          <w:tcPr>
            <w:tcW w:w="20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Product Category</w:t>
            </w:r>
          </w:p>
        </w:tc>
        <w:tc>
          <w:tcPr>
            <w:tcW w:w="60"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180"/>
              <w:jc w:val="left"/>
              <w:rPr/>
            </w:pPr>
            <w:r>
              <w:rPr/>
              <w:t> </w:t>
            </w:r>
          </w:p>
        </w:tc>
        <w:tc>
          <w:tcPr>
            <w:tcW w:w="2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Consumer Products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7" w:name="xdx_982_eus-gaap--ContractWithCustomerRe"/>
            <w:bookmarkEnd w:id="387"/>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w:t>
            </w:r>
            <w:bookmarkStart w:id="388" w:name="xdx_989_eus-gaap--ContractWithCustomerRe"/>
            <w:bookmarkEnd w:id="388"/>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2,968</w:t>
            </w:r>
          </w:p>
        </w:tc>
        <w:tc>
          <w:tcPr>
            <w:tcW w:w="60" w:type="dxa"/>
            <w:tcBorders/>
            <w:shd w:fill="CCEE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180"/>
              <w:jc w:val="left"/>
              <w:rPr/>
            </w:pPr>
            <w:r>
              <w:rPr/>
              <w:t> </w:t>
            </w:r>
          </w:p>
        </w:tc>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Consumer Products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389" w:name="xdx_98C_ecustom--ContractWithCustomerRec"/>
            <w:bookmarkEnd w:id="389"/>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bookmarkStart w:id="390" w:name="xdx_98D_ecustom--ContractWithCustomerRec"/>
            <w:bookmarkEnd w:id="390"/>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3,588</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180"/>
              <w:jc w:val="left"/>
              <w:rPr/>
            </w:pPr>
            <w:r>
              <w:rPr/>
              <w:t> </w:t>
            </w:r>
          </w:p>
        </w:tc>
        <w:tc>
          <w:tcPr>
            <w:tcW w:w="2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Personal Care Ingredients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391" w:name="xdx_980_eus-gaap--ContractWithCustomerRe"/>
            <w:bookmarkEnd w:id="391"/>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bookmarkStart w:id="392" w:name="xdx_98D_eus-gaap--ContractWithCustomerRe"/>
            <w:bookmarkEnd w:id="392"/>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1,136</w:t>
            </w:r>
          </w:p>
        </w:tc>
        <w:tc>
          <w:tcPr>
            <w:tcW w:w="60" w:type="dxa"/>
            <w:tcBorders/>
            <w:shd w:fill="CCEE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180"/>
              <w:jc w:val="left"/>
              <w:rPr/>
            </w:pPr>
            <w:r>
              <w:rPr/>
              <w:t> </w:t>
            </w:r>
          </w:p>
        </w:tc>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vAlign w:val="center"/>
          </w:tcPr>
          <w:p>
            <w:pPr>
              <w:pStyle w:val="TableContents"/>
              <w:bidi w:val="0"/>
              <w:spacing w:before="0" w:after="283"/>
              <w:jc w:val="left"/>
              <w:rPr/>
            </w:pPr>
            <w:r>
              <w:rPr/>
              <w:t> </w:t>
            </w:r>
          </w:p>
        </w:tc>
        <w:tc>
          <w:tcPr>
            <w:tcW w:w="125"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pPr>
            <w:r>
              <w:rPr/>
              <w:t> </w:t>
            </w:r>
            <w:bookmarkStart w:id="393" w:name="xdx_983_eus-gaap--ContractWithCustomerRe"/>
            <w:bookmarkEnd w:id="393"/>
          </w:p>
        </w:tc>
        <w:tc>
          <w:tcPr>
            <w:tcW w:w="485"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7,682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pPr>
            <w:r>
              <w:rPr/>
              <w:t> </w:t>
            </w:r>
            <w:bookmarkStart w:id="394" w:name="xdx_989_eus-gaap--ContractWithCustomerRe"/>
            <w:bookmarkEnd w:id="394"/>
          </w:p>
        </w:tc>
        <w:tc>
          <w:tcPr>
            <w:tcW w:w="485"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7,692</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6" w:right="0" w:firstLine="714"/>
        <w:jc w:val="both"/>
        <w:rPr>
          <w:caps w:val="false"/>
          <w:smallCaps w:val="false"/>
        </w:rPr>
      </w:pPr>
      <w:bookmarkStart w:id="395" w:name="xdx_8A8_zwCaLur6yjk2"/>
      <w:bookmarkEnd w:id="395"/>
      <w:r>
        <w:rPr>
          <w:caps w:val="false"/>
          <w:smallCaps w:val="false"/>
        </w:rPr>
        <w:t> </w:t>
      </w:r>
    </w:p>
    <w:p>
      <w:pPr>
        <w:pStyle w:val="TextBody"/>
        <w:bidi w:val="0"/>
        <w:spacing w:before="0" w:after="0"/>
        <w:ind w:left="6" w:right="0" w:firstLine="71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currently have exclusive supply agreements with BASF Corporation (“BASF”), a significant personal care ingredient customer, that have contingencies outlined which could potentially result in the sale of production equipment from the Company to the customer intended to provide capacity sufficient to meet the customer’s production needs. This outcome may occur if we fail to meet certain performance requirements. In the event of an equipment sale, upon incurring a triggering event, the equipment would be sold to the customer at the greater of </w:t>
      </w:r>
      <w:bookmarkStart w:id="396" w:name="xdx_90B_ecustom--EquipmentSaleOriginalBo"/>
      <w:bookmarkEnd w:id="396"/>
      <w:r>
        <w:rPr>
          <w:rFonts w:ascii="Times New Roman;Times;Serif" w:hAnsi="Times New Roman;Times;Serif"/>
          <w:b w:val="false"/>
          <w:i w:val="false"/>
          <w:caps w:val="false"/>
          <w:smallCaps w:val="false"/>
          <w:sz w:val="20"/>
        </w:rPr>
        <w:t xml:space="preserve">30% of the original book value of such equipment, and any associated upgrades to it, or </w:t>
      </w:r>
      <w:bookmarkStart w:id="397" w:name="xdx_908_ecustom--EquipmentSaleNetBookVal"/>
      <w:bookmarkEnd w:id="397"/>
      <w:r>
        <w:rPr>
          <w:rFonts w:ascii="Times New Roman;Times;Serif" w:hAnsi="Times New Roman;Times;Serif"/>
          <w:b w:val="false"/>
          <w:i w:val="false"/>
          <w:caps w:val="false"/>
          <w:smallCaps w:val="false"/>
          <w:sz w:val="20"/>
        </w:rPr>
        <w:t>115% of the equipment’s net book value, depending on the equipment and related products.</w:t>
      </w:r>
    </w:p>
    <w:p>
      <w:pPr>
        <w:pStyle w:val="TextBody"/>
        <w:bidi w:val="0"/>
        <w:spacing w:before="0" w:after="0"/>
        <w:ind w:left="6" w:right="0" w:firstLine="714"/>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triggering event were to occur and BASF elected to proceed with the equipment sale mentioned above, we would lose a historically significant source of revenue.</w:t>
      </w:r>
    </w:p>
    <w:p>
      <w:pPr>
        <w:pStyle w:val="TextBody"/>
        <w:bidi w:val="0"/>
        <w:spacing w:before="0" w:after="0"/>
        <w:ind w:left="0" w:right="0" w:firstLine="720"/>
        <w:jc w:val="both"/>
        <w:rPr>
          <w:caps w:val="false"/>
          <w:smallCaps w:val="false"/>
        </w:rPr>
      </w:pPr>
      <w:bookmarkStart w:id="398" w:name="xdx_817_zq6AF7Rq0V2g"/>
      <w:bookmarkEnd w:id="39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9" w:name="xdx_801_eus-gaap--SegmentReportingDisclo"/>
      <w:bookmarkEnd w:id="399"/>
      <w:r>
        <w:rPr>
          <w:rFonts w:ascii="Times New Roman;Times;Serif" w:hAnsi="Times New Roman;Times;Serif"/>
          <w:b/>
          <w:i w:val="false"/>
          <w:caps w:val="false"/>
          <w:smallCaps w:val="false"/>
          <w:sz w:val="20"/>
        </w:rPr>
        <w:t xml:space="preserve">(9) </w:t>
      </w:r>
      <w:bookmarkStart w:id="400" w:name="xdx_82B_zfzNvfW3oWfa"/>
      <w:bookmarkEnd w:id="400"/>
      <w:r>
        <w:rPr>
          <w:rFonts w:ascii="Times New Roman;Times;Serif" w:hAnsi="Times New Roman;Times;Serif"/>
          <w:b/>
          <w:i w:val="false"/>
          <w:caps w:val="false"/>
          <w:smallCaps w:val="false"/>
          <w:sz w:val="20"/>
        </w:rPr>
        <w:t>Business Segmentation and Geographical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business segment, in which the factors used to make this determination include differences in products, services, geographical areas, regulatory environment, and other such criteria considered for the appropriateness of aggregation. The types of products and services for which the sole reportable segment, which is the same as the Company as a whole, offered by the Company are discussed in Note 2. Since the Company operates as a single segment, there were no intra-entity sales or transfers.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role of Chief Operating Decision Maker for the Company is Chief Executive Officer. The Chief Operating Decision Maker assesses performance for the single segment and decides how to allocate resources based on net income and gross profit that also is reported on the statement of operations as net income. The measure of segment assets is reported on the balance sheet as total assets. The accounting policies of the sole segment are the same as those described in the summary of significant accounting policies in Note 2 of the 2025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01" w:name="xdx_891_eus-gaap--ScheduleOfSegmentRepor"/>
      <w:bookmarkEnd w:id="401"/>
      <w:r>
        <w:rPr>
          <w:rFonts w:ascii="Times New Roman;Times;Serif" w:hAnsi="Times New Roman;Times;Serif"/>
          <w:b w:val="false"/>
          <w:i w:val="false"/>
          <w:caps w:val="false"/>
          <w:smallCaps w:val="false"/>
          <w:sz w:val="20"/>
        </w:rPr>
        <w:t xml:space="preserve">The Chief Operating Decision Maker uses gross profit and net income to evaluate Company performance and in what way to allocate resources. </w:t>
      </w:r>
      <w:bookmarkStart w:id="402" w:name="xdx_8B5_zccrlEd3Lf73"/>
      <w:bookmarkEnd w:id="402"/>
      <w:r>
        <w:rPr>
          <w:rFonts w:ascii="Times New Roman;Times;Serif" w:hAnsi="Times New Roman;Times;Serif"/>
          <w:b w:val="false"/>
          <w:i w:val="false"/>
          <w:caps w:val="false"/>
          <w:smallCaps w:val="false"/>
          <w:sz w:val="20"/>
        </w:rPr>
        <w:t>Significant segment expenses, which are the same as the entity as a whole, are as follows:</w:t>
      </w:r>
    </w:p>
    <w:p>
      <w:pPr>
        <w:pStyle w:val="TextBody"/>
        <w:bidi w:val="0"/>
        <w:spacing w:before="0" w:after="0"/>
        <w:ind w:left="0" w:right="0" w:firstLine="720"/>
        <w:jc w:val="both"/>
        <w:rPr>
          <w:caps w:val="false"/>
          <w:smallCaps w:val="false"/>
        </w:rPr>
      </w:pPr>
      <w:r>
        <w:rPr>
          <w:caps w:val="false"/>
          <w:smallCaps w:val="false"/>
        </w:rPr>
        <w:t> </w:t>
      </w:r>
    </w:p>
    <w:tbl>
      <w:tblPr>
        <w:tblW w:w="9523" w:type="dxa"/>
        <w:jc w:val="left"/>
        <w:tblInd w:w="0" w:type="dxa"/>
        <w:tblLayout w:type="fixed"/>
        <w:tblCellMar>
          <w:top w:w="0" w:type="dxa"/>
          <w:left w:w="0" w:type="dxa"/>
          <w:bottom w:w="0" w:type="dxa"/>
          <w:right w:w="0" w:type="dxa"/>
        </w:tblCellMar>
      </w:tblPr>
      <w:tblGrid>
        <w:gridCol w:w="3575"/>
        <w:gridCol w:w="1489"/>
        <w:gridCol w:w="1575"/>
        <w:gridCol w:w="1403"/>
        <w:gridCol w:w="1481"/>
      </w:tblGrid>
      <w:tr>
        <w:trPr/>
        <w:tc>
          <w:tcPr>
            <w:tcW w:w="3575" w:type="dxa"/>
            <w:tcBorders/>
            <w:vAlign w:val="center"/>
          </w:tcPr>
          <w:p>
            <w:pPr>
              <w:pStyle w:val="TableContents"/>
              <w:bidi w:val="0"/>
              <w:spacing w:before="0" w:after="283"/>
              <w:jc w:val="left"/>
              <w:rPr/>
            </w:pPr>
            <w:r>
              <w:rPr/>
              <w:t> </w:t>
            </w:r>
            <w:bookmarkStart w:id="403" w:name="xdx_49E_20260401__20260630_zFmIcOfFmktb"/>
            <w:bookmarkEnd w:id="403"/>
          </w:p>
        </w:tc>
        <w:tc>
          <w:tcPr>
            <w:tcW w:w="1489" w:type="dxa"/>
            <w:tcBorders>
              <w:bottom w:val="single" w:sz="8" w:space="0" w:color="000000"/>
            </w:tcBorders>
            <w:tcMar>
              <w:bottom w:w="28" w:type="dxa"/>
            </w:tcMar>
            <w:vAlign w:val="center"/>
          </w:tcPr>
          <w:p>
            <w:pPr>
              <w:pStyle w:val="TableContents"/>
              <w:bidi w:val="0"/>
              <w:spacing w:before="0" w:after="283"/>
              <w:jc w:val="center"/>
              <w:rPr/>
            </w:pPr>
            <w:r>
              <w:rPr/>
              <w:t> </w:t>
            </w:r>
            <w:bookmarkStart w:id="404" w:name="xdx_493_20250401__20250630_zqZzgz3HJwXg"/>
            <w:bookmarkEnd w:id="404"/>
          </w:p>
        </w:tc>
        <w:tc>
          <w:tcPr>
            <w:tcW w:w="1575" w:type="dxa"/>
            <w:tcBorders>
              <w:bottom w:val="single" w:sz="8" w:space="0" w:color="000000"/>
            </w:tcBorders>
            <w:tcMar>
              <w:bottom w:w="28" w:type="dxa"/>
            </w:tcMar>
            <w:vAlign w:val="center"/>
          </w:tcPr>
          <w:p>
            <w:pPr>
              <w:pStyle w:val="TableContents"/>
              <w:bidi w:val="0"/>
              <w:spacing w:before="0" w:after="283"/>
              <w:jc w:val="center"/>
              <w:rPr/>
            </w:pPr>
            <w:r>
              <w:rPr/>
              <w:t> </w:t>
            </w:r>
            <w:bookmarkStart w:id="405" w:name="xdx_495_20260101__20260630_zy8ow6HETtl6"/>
            <w:bookmarkEnd w:id="405"/>
          </w:p>
        </w:tc>
        <w:tc>
          <w:tcPr>
            <w:tcW w:w="1403" w:type="dxa"/>
            <w:tcBorders>
              <w:bottom w:val="single" w:sz="8" w:space="0" w:color="000000"/>
            </w:tcBorders>
            <w:tcMar>
              <w:bottom w:w="28" w:type="dxa"/>
            </w:tcMar>
            <w:vAlign w:val="center"/>
          </w:tcPr>
          <w:p>
            <w:pPr>
              <w:pStyle w:val="TableContents"/>
              <w:bidi w:val="0"/>
              <w:spacing w:before="0" w:after="283"/>
              <w:jc w:val="center"/>
              <w:rPr/>
            </w:pPr>
            <w:r>
              <w:rPr/>
              <w:t> </w:t>
            </w:r>
            <w:bookmarkStart w:id="406" w:name="xdx_497_20250101__20250630_zOfieq0VNt66"/>
            <w:bookmarkEnd w:id="406"/>
          </w:p>
        </w:tc>
        <w:tc>
          <w:tcPr>
            <w:tcW w:w="1481"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3575" w:type="dxa"/>
            <w:tcBorders/>
            <w:vAlign w:val="center"/>
          </w:tcPr>
          <w:p>
            <w:pPr>
              <w:pStyle w:val="TableContents"/>
              <w:bidi w:val="0"/>
              <w:spacing w:before="0" w:after="283"/>
              <w:jc w:val="left"/>
              <w:rPr/>
            </w:pPr>
            <w:r>
              <w:rPr/>
              <w:t> </w:t>
            </w:r>
          </w:p>
        </w:tc>
        <w:tc>
          <w:tcPr>
            <w:tcW w:w="30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three months ended June 30,</w:t>
            </w:r>
          </w:p>
        </w:tc>
        <w:tc>
          <w:tcPr>
            <w:tcW w:w="28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six months ended June 30,</w:t>
            </w:r>
          </w:p>
        </w:tc>
      </w:tr>
      <w:tr>
        <w:trPr/>
        <w:tc>
          <w:tcPr>
            <w:tcW w:w="3575" w:type="dxa"/>
            <w:tcBorders/>
            <w:vAlign w:val="center"/>
          </w:tcPr>
          <w:p>
            <w:pPr>
              <w:pStyle w:val="TableContents"/>
              <w:bidi w:val="0"/>
              <w:spacing w:before="0" w:after="283"/>
              <w:jc w:val="left"/>
              <w:rPr/>
            </w:pPr>
            <w:r>
              <w:rPr/>
              <w:t> </w:t>
            </w:r>
          </w:p>
        </w:tc>
        <w:tc>
          <w:tcPr>
            <w:tcW w:w="148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5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40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48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bookmarkStart w:id="407" w:name="xdx_40D_eus-gaap--RevenueFromContractWit"/>
            <w:bookmarkEnd w:id="407"/>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revenue</w:t>
            </w:r>
          </w:p>
        </w:tc>
        <w:tc>
          <w:tcPr>
            <w:tcW w:w="14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15,332</w:t>
            </w:r>
          </w:p>
        </w:tc>
        <w:tc>
          <w:tcPr>
            <w:tcW w:w="1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20,359</w:t>
            </w:r>
          </w:p>
        </w:tc>
        <w:tc>
          <w:tcPr>
            <w:tcW w:w="14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28,290</w:t>
            </w:r>
          </w:p>
        </w:tc>
        <w:tc>
          <w:tcPr>
            <w:tcW w:w="14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34,984</w:t>
            </w:r>
          </w:p>
        </w:tc>
      </w:tr>
      <w:tr>
        <w:trPr/>
        <w:tc>
          <w:tcPr>
            <w:tcW w:w="3575" w:type="dxa"/>
            <w:tcBorders/>
            <w:vAlign w:val="center"/>
          </w:tcPr>
          <w:p>
            <w:pPr>
              <w:pStyle w:val="TableContents"/>
              <w:bidi w:val="0"/>
              <w:spacing w:before="0" w:after="283"/>
              <w:jc w:val="left"/>
              <w:rPr/>
            </w:pPr>
            <w:r>
              <w:rPr/>
              <w:t> </w:t>
            </w:r>
          </w:p>
        </w:tc>
        <w:tc>
          <w:tcPr>
            <w:tcW w:w="1489" w:type="dxa"/>
            <w:tcBorders/>
            <w:vAlign w:val="center"/>
          </w:tcPr>
          <w:p>
            <w:pPr>
              <w:pStyle w:val="TableContents"/>
              <w:bidi w:val="0"/>
              <w:spacing w:before="0" w:after="283"/>
              <w:jc w:val="right"/>
              <w:rPr/>
            </w:pPr>
            <w:r>
              <w:rPr/>
              <w:t> </w:t>
            </w:r>
          </w:p>
        </w:tc>
        <w:tc>
          <w:tcPr>
            <w:tcW w:w="1575" w:type="dxa"/>
            <w:tcBorders/>
            <w:vAlign w:val="center"/>
          </w:tcPr>
          <w:p>
            <w:pPr>
              <w:pStyle w:val="TableContents"/>
              <w:bidi w:val="0"/>
              <w:spacing w:before="0" w:after="283"/>
              <w:jc w:val="right"/>
              <w:rPr/>
            </w:pPr>
            <w:r>
              <w:rPr/>
              <w:t> </w:t>
            </w:r>
          </w:p>
        </w:tc>
        <w:tc>
          <w:tcPr>
            <w:tcW w:w="1403" w:type="dxa"/>
            <w:tcBorders/>
            <w:vAlign w:val="center"/>
          </w:tcPr>
          <w:p>
            <w:pPr>
              <w:pStyle w:val="TableContents"/>
              <w:bidi w:val="0"/>
              <w:spacing w:before="0" w:after="283"/>
              <w:jc w:val="right"/>
              <w:rPr/>
            </w:pPr>
            <w:r>
              <w:rPr/>
              <w:t> </w:t>
            </w:r>
          </w:p>
        </w:tc>
        <w:tc>
          <w:tcPr>
            <w:tcW w:w="1481" w:type="dxa"/>
            <w:tcBorders/>
            <w:vAlign w:val="center"/>
          </w:tcPr>
          <w:p>
            <w:pPr>
              <w:pStyle w:val="TableContents"/>
              <w:bidi w:val="0"/>
              <w:spacing w:before="0" w:after="283"/>
              <w:jc w:val="right"/>
              <w:rPr/>
            </w:pPr>
            <w:r>
              <w:rPr/>
              <w:t> </w:t>
            </w:r>
            <w:bookmarkStart w:id="408" w:name="xdx_40E_eus-gaap--CostsAndExpenses_hus-g"/>
            <w:bookmarkEnd w:id="408"/>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costs</w:t>
            </w:r>
          </w:p>
        </w:tc>
        <w:tc>
          <w:tcPr>
            <w:tcW w:w="14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3,723</w:t>
            </w:r>
          </w:p>
        </w:tc>
        <w:tc>
          <w:tcPr>
            <w:tcW w:w="1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3,961</w:t>
            </w:r>
          </w:p>
        </w:tc>
        <w:tc>
          <w:tcPr>
            <w:tcW w:w="14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7,832</w:t>
            </w:r>
          </w:p>
        </w:tc>
        <w:tc>
          <w:tcPr>
            <w:tcW w:w="14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7,327</w:t>
            </w:r>
            <w:bookmarkStart w:id="409" w:name="xdx_407_eus-gaap--CostsAndExpenses_hus-g"/>
            <w:bookmarkEnd w:id="409"/>
          </w:p>
        </w:tc>
      </w:tr>
      <w:tr>
        <w:trPr/>
        <w:tc>
          <w:tcPr>
            <w:tcW w:w="3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Contractors and professional services</w:t>
            </w:r>
          </w:p>
        </w:tc>
        <w:tc>
          <w:tcPr>
            <w:tcW w:w="148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2,471</w:t>
            </w:r>
          </w:p>
        </w:tc>
        <w:tc>
          <w:tcPr>
            <w:tcW w:w="1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3,787</w:t>
            </w:r>
          </w:p>
        </w:tc>
        <w:tc>
          <w:tcPr>
            <w:tcW w:w="140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5,011</w:t>
            </w:r>
          </w:p>
        </w:tc>
        <w:tc>
          <w:tcPr>
            <w:tcW w:w="14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7,205</w:t>
            </w:r>
            <w:bookmarkStart w:id="410" w:name="xdx_400_eus-gaap--CostsAndExpenses_hus-g"/>
            <w:bookmarkEnd w:id="410"/>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Materials and supplies</w:t>
            </w:r>
          </w:p>
        </w:tc>
        <w:tc>
          <w:tcPr>
            <w:tcW w:w="14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5,196</w:t>
            </w:r>
          </w:p>
        </w:tc>
        <w:tc>
          <w:tcPr>
            <w:tcW w:w="1575" w:type="dxa"/>
            <w:tcBorders/>
            <w:shd w:fill="CCEEFF" w:val="clear"/>
            <w:vAlign w:val="center"/>
          </w:tcPr>
          <w:p>
            <w:pPr>
              <w:pStyle w:val="TableContents"/>
              <w:bidi w:val="0"/>
              <w:spacing w:before="0" w:after="283"/>
              <w:jc w:val="right"/>
              <w:rPr/>
            </w:pPr>
            <w:r>
              <w:rPr/>
              <w:t>6,897</w:t>
            </w:r>
          </w:p>
        </w:tc>
        <w:tc>
          <w:tcPr>
            <w:tcW w:w="14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9,403</w:t>
            </w:r>
          </w:p>
        </w:tc>
        <w:tc>
          <w:tcPr>
            <w:tcW w:w="14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11,742</w:t>
            </w:r>
            <w:bookmarkStart w:id="411" w:name="xdx_40A_eus-gaap--CostsAndExpenses_hus-g"/>
            <w:bookmarkEnd w:id="411"/>
          </w:p>
        </w:tc>
      </w:tr>
      <w:tr>
        <w:trPr/>
        <w:tc>
          <w:tcPr>
            <w:tcW w:w="3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w:t>
            </w:r>
          </w:p>
        </w:tc>
        <w:tc>
          <w:tcPr>
            <w:tcW w:w="148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w:t>
            </w:r>
          </w:p>
        </w:tc>
        <w:tc>
          <w:tcPr>
            <w:tcW w:w="1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w:t>
            </w:r>
          </w:p>
        </w:tc>
        <w:tc>
          <w:tcPr>
            <w:tcW w:w="140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636</w:t>
            </w:r>
          </w:p>
        </w:tc>
        <w:tc>
          <w:tcPr>
            <w:tcW w:w="14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451</w:t>
            </w:r>
            <w:bookmarkStart w:id="412" w:name="xdx_407_eus-gaap--CostsAndExpenses_hus-g"/>
            <w:bookmarkEnd w:id="412"/>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p>
        </w:tc>
        <w:tc>
          <w:tcPr>
            <w:tcW w:w="14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w:t>
            </w:r>
          </w:p>
        </w:tc>
        <w:tc>
          <w:tcPr>
            <w:tcW w:w="1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w:t>
            </w:r>
          </w:p>
        </w:tc>
        <w:tc>
          <w:tcPr>
            <w:tcW w:w="14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543</w:t>
            </w:r>
          </w:p>
        </w:tc>
        <w:tc>
          <w:tcPr>
            <w:tcW w:w="14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458</w:t>
            </w:r>
            <w:bookmarkStart w:id="413" w:name="xdx_40D_eus-gaap--CostsAndExpenses_hus-g"/>
            <w:bookmarkEnd w:id="413"/>
          </w:p>
        </w:tc>
      </w:tr>
      <w:tr>
        <w:trPr/>
        <w:tc>
          <w:tcPr>
            <w:tcW w:w="3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w:t>
            </w:r>
          </w:p>
        </w:tc>
        <w:tc>
          <w:tcPr>
            <w:tcW w:w="1489" w:type="dxa"/>
            <w:tcBorders/>
            <w:vAlign w:val="center"/>
          </w:tcPr>
          <w:p>
            <w:pPr>
              <w:pStyle w:val="TableContents"/>
              <w:bidi w:val="0"/>
              <w:spacing w:before="0" w:after="283"/>
              <w:jc w:val="right"/>
              <w:rPr/>
            </w:pPr>
            <w:r>
              <w:rPr/>
              <w:t>—</w:t>
            </w:r>
          </w:p>
        </w:tc>
        <w:tc>
          <w:tcPr>
            <w:tcW w:w="1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(1,428)</w:t>
            </w:r>
          </w:p>
        </w:tc>
        <w:tc>
          <w:tcPr>
            <w:tcW w:w="1403" w:type="dxa"/>
            <w:tcBorders/>
            <w:vAlign w:val="center"/>
          </w:tcPr>
          <w:p>
            <w:pPr>
              <w:pStyle w:val="TableContents"/>
              <w:bidi w:val="0"/>
              <w:spacing w:before="0" w:after="283"/>
              <w:jc w:val="right"/>
              <w:rPr/>
            </w:pPr>
            <w:r>
              <w:rPr/>
              <w:t>—</w:t>
            </w:r>
          </w:p>
        </w:tc>
        <w:tc>
          <w:tcPr>
            <w:tcW w:w="14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(1,428)</w:t>
            </w:r>
            <w:bookmarkStart w:id="414" w:name="xdx_400_eus-gaap--CostsAndExpenses_hus-g"/>
            <w:bookmarkEnd w:id="414"/>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expense</w:t>
            </w:r>
          </w:p>
        </w:tc>
        <w:tc>
          <w:tcPr>
            <w:tcW w:w="14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1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418</w:t>
            </w:r>
          </w:p>
        </w:tc>
        <w:tc>
          <w:tcPr>
            <w:tcW w:w="14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c>
          <w:tcPr>
            <w:tcW w:w="14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w:t>
            </w:r>
            <w:bookmarkStart w:id="415" w:name="xdx_40D_eus-gaap--CostsAndExpenses_hus-g"/>
            <w:bookmarkEnd w:id="415"/>
          </w:p>
        </w:tc>
      </w:tr>
      <w:tr>
        <w:trPr/>
        <w:tc>
          <w:tcPr>
            <w:tcW w:w="3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Facilities</w:t>
            </w:r>
          </w:p>
        </w:tc>
        <w:tc>
          <w:tcPr>
            <w:tcW w:w="148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938</w:t>
            </w:r>
          </w:p>
        </w:tc>
        <w:tc>
          <w:tcPr>
            <w:tcW w:w="1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990</w:t>
            </w:r>
          </w:p>
        </w:tc>
        <w:tc>
          <w:tcPr>
            <w:tcW w:w="140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1,906</w:t>
            </w:r>
          </w:p>
        </w:tc>
        <w:tc>
          <w:tcPr>
            <w:tcW w:w="14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1,933</w:t>
            </w:r>
            <w:bookmarkStart w:id="416" w:name="xdx_401_eus-gaap--CostsAndExpenses_hus-g"/>
            <w:bookmarkEnd w:id="416"/>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Shipping</w:t>
            </w:r>
          </w:p>
        </w:tc>
        <w:tc>
          <w:tcPr>
            <w:tcW w:w="14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w:t>
            </w:r>
          </w:p>
        </w:tc>
        <w:tc>
          <w:tcPr>
            <w:tcW w:w="1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265</w:t>
            </w:r>
          </w:p>
        </w:tc>
        <w:tc>
          <w:tcPr>
            <w:tcW w:w="14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561</w:t>
            </w:r>
          </w:p>
        </w:tc>
        <w:tc>
          <w:tcPr>
            <w:tcW w:w="14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w:t>
            </w:r>
            <w:bookmarkStart w:id="417" w:name="xdx_40D_eus-gaap--CostsAndExpenses_hus-g"/>
            <w:bookmarkEnd w:id="417"/>
          </w:p>
        </w:tc>
      </w:tr>
      <w:tr>
        <w:trPr/>
        <w:tc>
          <w:tcPr>
            <w:tcW w:w="3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Testing</w:t>
            </w:r>
          </w:p>
        </w:tc>
        <w:tc>
          <w:tcPr>
            <w:tcW w:w="148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1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c>
          <w:tcPr>
            <w:tcW w:w="140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c>
          <w:tcPr>
            <w:tcW w:w="14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269</w:t>
            </w:r>
            <w:bookmarkStart w:id="418" w:name="xdx_407_eus-gaap--CostsAndExpenses_hus-g"/>
            <w:bookmarkEnd w:id="418"/>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 services</w:t>
            </w:r>
          </w:p>
        </w:tc>
        <w:tc>
          <w:tcPr>
            <w:tcW w:w="14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1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w:t>
            </w:r>
          </w:p>
        </w:tc>
        <w:tc>
          <w:tcPr>
            <w:tcW w:w="14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739</w:t>
            </w:r>
          </w:p>
        </w:tc>
        <w:tc>
          <w:tcPr>
            <w:tcW w:w="14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681</w:t>
            </w:r>
            <w:bookmarkStart w:id="419" w:name="xdx_407_eus-gaap--CostsAndExpenses_hus-g"/>
            <w:bookmarkEnd w:id="419"/>
          </w:p>
        </w:tc>
      </w:tr>
      <w:tr>
        <w:trPr/>
        <w:tc>
          <w:tcPr>
            <w:tcW w:w="3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148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w:t>
            </w:r>
          </w:p>
        </w:tc>
        <w:tc>
          <w:tcPr>
            <w:tcW w:w="1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w:t>
            </w:r>
          </w:p>
        </w:tc>
        <w:tc>
          <w:tcPr>
            <w:tcW w:w="140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452</w:t>
            </w:r>
          </w:p>
        </w:tc>
        <w:tc>
          <w:tcPr>
            <w:tcW w:w="14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414</w:t>
            </w:r>
            <w:bookmarkStart w:id="420" w:name="xdx_407_eus-gaap--CostsAndExpenses_hus-g"/>
            <w:bookmarkEnd w:id="420"/>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Manufacturing other expense</w:t>
            </w:r>
          </w:p>
        </w:tc>
        <w:tc>
          <w:tcPr>
            <w:tcW w:w="14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w:t>
            </w:r>
          </w:p>
        </w:tc>
        <w:tc>
          <w:tcPr>
            <w:tcW w:w="1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w:t>
            </w:r>
          </w:p>
        </w:tc>
        <w:tc>
          <w:tcPr>
            <w:tcW w:w="14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562</w:t>
            </w:r>
          </w:p>
        </w:tc>
        <w:tc>
          <w:tcPr>
            <w:tcW w:w="14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w:t>
            </w:r>
            <w:bookmarkStart w:id="421" w:name="xdx_405_eus-gaap--CostsAndExpenses_hus-g"/>
            <w:bookmarkEnd w:id="421"/>
          </w:p>
        </w:tc>
      </w:tr>
      <w:tr>
        <w:trPr/>
        <w:tc>
          <w:tcPr>
            <w:tcW w:w="3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148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1,345</w:t>
            </w:r>
          </w:p>
        </w:tc>
        <w:tc>
          <w:tcPr>
            <w:tcW w:w="1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813</w:t>
            </w:r>
          </w:p>
        </w:tc>
        <w:tc>
          <w:tcPr>
            <w:tcW w:w="140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1,670</w:t>
            </w:r>
          </w:p>
        </w:tc>
        <w:tc>
          <w:tcPr>
            <w:tcW w:w="14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1,219</w:t>
            </w:r>
            <w:bookmarkStart w:id="422" w:name="xdx_402_eus-gaap--CostsAndExpenses_zItzF"/>
            <w:bookmarkEnd w:id="422"/>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Expense</w:t>
            </w:r>
          </w:p>
        </w:tc>
        <w:tc>
          <w:tcPr>
            <w:tcW w:w="148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15,490</w:t>
            </w:r>
          </w:p>
        </w:tc>
        <w:tc>
          <w:tcPr>
            <w:tcW w:w="157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17,126</w:t>
            </w:r>
          </w:p>
        </w:tc>
        <w:tc>
          <w:tcPr>
            <w:tcW w:w="140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29,410</w:t>
            </w:r>
          </w:p>
        </w:tc>
        <w:tc>
          <w:tcPr>
            <w:tcW w:w="14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31,407</w:t>
            </w:r>
          </w:p>
        </w:tc>
      </w:tr>
      <w:tr>
        <w:trPr/>
        <w:tc>
          <w:tcPr>
            <w:tcW w:w="3575" w:type="dxa"/>
            <w:tcBorders/>
            <w:vAlign w:val="center"/>
          </w:tcPr>
          <w:p>
            <w:pPr>
              <w:pStyle w:val="TableContents"/>
              <w:bidi w:val="0"/>
              <w:spacing w:before="0" w:after="283"/>
              <w:jc w:val="left"/>
              <w:rPr/>
            </w:pPr>
            <w:r>
              <w:rPr/>
              <w:t> </w:t>
            </w:r>
          </w:p>
        </w:tc>
        <w:tc>
          <w:tcPr>
            <w:tcW w:w="1489" w:type="dxa"/>
            <w:tcBorders/>
            <w:vAlign w:val="center"/>
          </w:tcPr>
          <w:p>
            <w:pPr>
              <w:pStyle w:val="TableContents"/>
              <w:bidi w:val="0"/>
              <w:spacing w:before="0" w:after="283"/>
              <w:jc w:val="right"/>
              <w:rPr/>
            </w:pPr>
            <w:r>
              <w:rPr/>
              <w:t> </w:t>
            </w:r>
          </w:p>
        </w:tc>
        <w:tc>
          <w:tcPr>
            <w:tcW w:w="1575" w:type="dxa"/>
            <w:tcBorders/>
            <w:vAlign w:val="center"/>
          </w:tcPr>
          <w:p>
            <w:pPr>
              <w:pStyle w:val="TableContents"/>
              <w:bidi w:val="0"/>
              <w:spacing w:before="0" w:after="283"/>
              <w:jc w:val="right"/>
              <w:rPr/>
            </w:pPr>
            <w:r>
              <w:rPr/>
              <w:t> </w:t>
            </w:r>
          </w:p>
        </w:tc>
        <w:tc>
          <w:tcPr>
            <w:tcW w:w="1403" w:type="dxa"/>
            <w:tcBorders/>
            <w:vAlign w:val="center"/>
          </w:tcPr>
          <w:p>
            <w:pPr>
              <w:pStyle w:val="TableContents"/>
              <w:bidi w:val="0"/>
              <w:spacing w:before="0" w:after="283"/>
              <w:jc w:val="right"/>
              <w:rPr/>
            </w:pPr>
            <w:r>
              <w:rPr/>
              <w:t> </w:t>
            </w:r>
          </w:p>
        </w:tc>
        <w:tc>
          <w:tcPr>
            <w:tcW w:w="1481" w:type="dxa"/>
            <w:tcBorders/>
            <w:vAlign w:val="center"/>
          </w:tcPr>
          <w:p>
            <w:pPr>
              <w:pStyle w:val="TableContents"/>
              <w:bidi w:val="0"/>
              <w:spacing w:before="0" w:after="283"/>
              <w:jc w:val="right"/>
              <w:rPr/>
            </w:pPr>
            <w:r>
              <w:rPr/>
              <w:t> </w:t>
            </w:r>
            <w:bookmarkStart w:id="423" w:name="xdx_401_eus-gaap--NetIncomeLoss_zhz4MbiA"/>
            <w:bookmarkEnd w:id="423"/>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(loss)</w:t>
            </w:r>
          </w:p>
        </w:tc>
        <w:tc>
          <w:tcPr>
            <w:tcW w:w="148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(158)</w:t>
            </w:r>
          </w:p>
        </w:tc>
        <w:tc>
          <w:tcPr>
            <w:tcW w:w="157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3,233</w:t>
            </w:r>
          </w:p>
        </w:tc>
        <w:tc>
          <w:tcPr>
            <w:tcW w:w="140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(1,120)</w:t>
            </w:r>
          </w:p>
        </w:tc>
        <w:tc>
          <w:tcPr>
            <w:tcW w:w="14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3,577</w:t>
            </w:r>
          </w:p>
        </w:tc>
      </w:tr>
    </w:tbl>
    <w:p>
      <w:pPr>
        <w:pStyle w:val="TextBody"/>
        <w:bidi w:val="0"/>
        <w:spacing w:before="0" w:after="0"/>
        <w:ind w:left="0" w:right="0" w:firstLine="720"/>
        <w:jc w:val="both"/>
        <w:rPr>
          <w:caps w:val="false"/>
          <w:smallCaps w:val="false"/>
        </w:rPr>
      </w:pPr>
      <w:bookmarkStart w:id="424" w:name="xdx_8AF_zGPpa3oQOMfl"/>
      <w:bookmarkEnd w:id="424"/>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bookmarkStart w:id="425" w:name="xdx_236_zW8bUaQrOZXk"/>
      <w:bookmarkEnd w:id="425"/>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international sources approximated $</w:t>
      </w:r>
      <w:bookmarkStart w:id="426" w:name="xdx_90A_eus-gaap--Revenues_pn3n3_c202604"/>
      <w:bookmarkEnd w:id="426"/>
      <w:r>
        <w:rPr>
          <w:rFonts w:ascii="Times New Roman;Times;Serif" w:hAnsi="Times New Roman;Times;Serif"/>
          <w:b w:val="false"/>
          <w:i w:val="false"/>
          <w:caps w:val="false"/>
          <w:smallCaps w:val="false"/>
          <w:sz w:val="20"/>
        </w:rPr>
        <w:t>477 and $</w:t>
      </w:r>
      <w:bookmarkStart w:id="427" w:name="xdx_904_eus-gaap--Revenues_pn3n3_c202504"/>
      <w:bookmarkEnd w:id="427"/>
      <w:r>
        <w:rPr>
          <w:rFonts w:ascii="Times New Roman;Times;Serif" w:hAnsi="Times New Roman;Times;Serif"/>
          <w:b w:val="false"/>
          <w:i w:val="false"/>
          <w:caps w:val="false"/>
          <w:smallCaps w:val="false"/>
          <w:sz w:val="20"/>
        </w:rPr>
        <w:t>2,519 for the three months ended June 30, 2026 and 2025, respectively, and $</w:t>
      </w:r>
      <w:bookmarkStart w:id="428" w:name="xdx_90B_eus-gaap--Revenues_pn3n3_c202601"/>
      <w:bookmarkEnd w:id="428"/>
      <w:r>
        <w:rPr>
          <w:rFonts w:ascii="Times New Roman;Times;Serif" w:hAnsi="Times New Roman;Times;Serif"/>
          <w:b w:val="false"/>
          <w:i w:val="false"/>
          <w:caps w:val="false"/>
          <w:smallCaps w:val="false"/>
          <w:sz w:val="20"/>
        </w:rPr>
        <w:t>1,391 and $</w:t>
      </w:r>
      <w:bookmarkStart w:id="429" w:name="xdx_909_eus-gaap--Revenues_pn3n3_c202501"/>
      <w:bookmarkEnd w:id="429"/>
      <w:r>
        <w:rPr>
          <w:rFonts w:ascii="Times New Roman;Times;Serif" w:hAnsi="Times New Roman;Times;Serif"/>
          <w:b w:val="false"/>
          <w:i w:val="false"/>
          <w:caps w:val="false"/>
          <w:smallCaps w:val="false"/>
          <w:sz w:val="20"/>
        </w:rPr>
        <w:t>3,512 for the six months ended June 30, 2026 and 2025, respectively. As part of our revenue from international sources, we recognized approximately $</w:t>
      </w:r>
      <w:bookmarkStart w:id="430" w:name="xdx_909_eus-gaap--Revenues_pn3n3_c202604"/>
      <w:bookmarkEnd w:id="430"/>
      <w:r>
        <w:rPr>
          <w:rFonts w:ascii="Times New Roman;Times;Serif" w:hAnsi="Times New Roman;Times;Serif"/>
          <w:b w:val="false"/>
          <w:i w:val="false"/>
          <w:caps w:val="false"/>
          <w:smallCaps w:val="false"/>
          <w:sz w:val="20"/>
        </w:rPr>
        <w:t>244 and $</w:t>
      </w:r>
      <w:bookmarkStart w:id="431" w:name="xdx_909_eus-gaap--Revenues_pn3n3_c202504"/>
      <w:bookmarkEnd w:id="431"/>
      <w:r>
        <w:rPr>
          <w:rFonts w:ascii="Times New Roman;Times;Serif" w:hAnsi="Times New Roman;Times;Serif"/>
          <w:b w:val="false"/>
          <w:i w:val="false"/>
          <w:caps w:val="false"/>
          <w:smallCaps w:val="false"/>
          <w:sz w:val="20"/>
        </w:rPr>
        <w:t>245 for the three months ended June 30, 2026 and 2025, respectively, and $</w:t>
      </w:r>
      <w:bookmarkStart w:id="432" w:name="xdx_901_eus-gaap--Revenues_pn3n3_c202601"/>
      <w:bookmarkEnd w:id="432"/>
      <w:r>
        <w:rPr>
          <w:rFonts w:ascii="Times New Roman;Times;Serif" w:hAnsi="Times New Roman;Times;Serif"/>
          <w:b w:val="false"/>
          <w:i w:val="false"/>
          <w:caps w:val="false"/>
          <w:smallCaps w:val="false"/>
          <w:sz w:val="20"/>
        </w:rPr>
        <w:t>857 and $</w:t>
      </w:r>
      <w:bookmarkStart w:id="433" w:name="xdx_903_eus-gaap--Revenues_pn3n3_c202501"/>
      <w:bookmarkEnd w:id="433"/>
      <w:r>
        <w:rPr>
          <w:rFonts w:ascii="Times New Roman;Times;Serif" w:hAnsi="Times New Roman;Times;Serif"/>
          <w:b w:val="false"/>
          <w:i w:val="false"/>
          <w:caps w:val="false"/>
          <w:smallCaps w:val="false"/>
          <w:sz w:val="20"/>
        </w:rPr>
        <w:t>593 for the six months ended June 30, 2026 and 2025, respectively, in product revenue from companies in Canada.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34" w:name="xdx_892_eus-gaap--DisaggregationOfRevenu"/>
      <w:bookmarkEnd w:id="434"/>
      <w:r>
        <w:rPr>
          <w:rFonts w:ascii="Times New Roman;Times;Serif" w:hAnsi="Times New Roman;Times;Serif"/>
          <w:b w:val="false"/>
          <w:i w:val="false"/>
          <w:caps w:val="false"/>
          <w:smallCaps w:val="false"/>
          <w:sz w:val="20"/>
        </w:rPr>
        <w:t xml:space="preserve">Our operations comprise a single business segment and all of our long-lived assets are located within the United States. We categorize our revenue stream into three main product categories, personal care ingredients, advanced materials and consumer products. </w:t>
      </w:r>
      <w:bookmarkStart w:id="435" w:name="xdx_8B9_z69tAr9ICS8h"/>
      <w:bookmarkEnd w:id="435"/>
      <w:r>
        <w:rPr>
          <w:rFonts w:ascii="Times New Roman;Times;Serif" w:hAnsi="Times New Roman;Times;Serif"/>
          <w:b w:val="false"/>
          <w:i w:val="false"/>
          <w:caps w:val="false"/>
          <w:smallCaps w:val="false"/>
          <w:sz w:val="20"/>
        </w:rPr>
        <w:t>The revenues for the three and six months ended June 30, 2026 and 2025 by category are as follows:</w:t>
      </w:r>
    </w:p>
    <w:p>
      <w:pPr>
        <w:pStyle w:val="TextBody"/>
        <w:bidi w:val="0"/>
        <w:spacing w:before="0" w:after="0"/>
        <w:ind w:left="0" w:right="0" w:firstLine="720"/>
        <w:jc w:val="both"/>
        <w:rPr>
          <w:caps w:val="false"/>
          <w:smallCaps w:val="false"/>
        </w:rPr>
      </w:pPr>
      <w:r>
        <w:rPr>
          <w:caps w:val="false"/>
          <w:smallCaps w:val="false"/>
        </w:rPr>
        <w:t> </w:t>
      </w:r>
    </w:p>
    <w:tbl>
      <w:tblPr>
        <w:tblW w:w="7076" w:type="dxa"/>
        <w:jc w:val="left"/>
        <w:tblInd w:w="0" w:type="dxa"/>
        <w:tblLayout w:type="fixed"/>
        <w:tblCellMar>
          <w:top w:w="0" w:type="dxa"/>
          <w:left w:w="0" w:type="dxa"/>
          <w:bottom w:w="0" w:type="dxa"/>
          <w:right w:w="0" w:type="dxa"/>
        </w:tblCellMar>
      </w:tblPr>
      <w:tblGrid>
        <w:gridCol w:w="2105"/>
        <w:gridCol w:w="60"/>
        <w:gridCol w:w="200"/>
        <w:gridCol w:w="944"/>
        <w:gridCol w:w="96"/>
        <w:gridCol w:w="96"/>
        <w:gridCol w:w="200"/>
        <w:gridCol w:w="944"/>
        <w:gridCol w:w="60"/>
        <w:gridCol w:w="60"/>
        <w:gridCol w:w="180"/>
        <w:gridCol w:w="852"/>
        <w:gridCol w:w="86"/>
        <w:gridCol w:w="86"/>
        <w:gridCol w:w="180"/>
        <w:gridCol w:w="852"/>
        <w:gridCol w:w="75"/>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June 30,</w:t>
            </w:r>
          </w:p>
        </w:tc>
        <w:tc>
          <w:tcPr>
            <w:tcW w:w="75" w:type="dxa"/>
            <w:tcBorders/>
            <w:vAlign w:val="center"/>
          </w:tcPr>
          <w:p>
            <w:pPr>
              <w:pStyle w:val="TableContents"/>
              <w:bidi w:val="0"/>
              <w:spacing w:before="0" w:after="283"/>
              <w:jc w:val="left"/>
              <w:rPr/>
            </w:pPr>
            <w:r>
              <w:rPr/>
              <w:t> </w:t>
            </w:r>
          </w:p>
        </w:tc>
      </w:tr>
      <w:tr>
        <w:trPr/>
        <w:tc>
          <w:tcPr>
            <w:tcW w:w="21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Product Category</w:t>
            </w:r>
          </w:p>
        </w:tc>
        <w:tc>
          <w:tcPr>
            <w:tcW w:w="6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Consumer Products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6" w:name="xdx_982_eus-gaap--RevenueFromContractWit"/>
            <w:bookmarkEnd w:id="436"/>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14,214</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7" w:name="xdx_981_eus-gaap--RevenueFromContractWit"/>
            <w:bookmarkEnd w:id="437"/>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8" w:name="xdx_989_eus-gaap--RevenueFromContractWit"/>
            <w:bookmarkEnd w:id="438"/>
          </w:p>
        </w:tc>
        <w:tc>
          <w:tcPr>
            <w:tcW w:w="8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24,241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9" w:name="xdx_980_eus-gaap--RevenueFromContractWit"/>
            <w:bookmarkEnd w:id="439"/>
          </w:p>
        </w:tc>
        <w:tc>
          <w:tcPr>
            <w:tcW w:w="8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30,426</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Personal Care Ingredients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bookmarkStart w:id="440" w:name="xdx_98D_eus-gaap--RevenueFromContractWit"/>
            <w:bookmarkEnd w:id="440"/>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1,077</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bookmarkStart w:id="441" w:name="xdx_982_eus-gaap--RevenueFromContractWit"/>
            <w:bookmarkEnd w:id="441"/>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bookmarkStart w:id="442" w:name="xdx_987_eus-gaap--RevenueFromContractWit"/>
            <w:bookmarkEnd w:id="442"/>
          </w:p>
        </w:tc>
        <w:tc>
          <w:tcPr>
            <w:tcW w:w="8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3,803</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bookmarkStart w:id="443" w:name="xdx_98B_eus-gaap--RevenueFromContractWit"/>
            <w:bookmarkEnd w:id="443"/>
          </w:p>
        </w:tc>
        <w:tc>
          <w:tcPr>
            <w:tcW w:w="8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4,061</w:t>
            </w:r>
          </w:p>
        </w:tc>
        <w:tc>
          <w:tcPr>
            <w:tcW w:w="75"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Advanced Materials</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44" w:name="xdx_982_eus-gaap--RevenueFromContractWit"/>
            <w:bookmarkEnd w:id="444"/>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45" w:name="xdx_98A_eus-gaap--RevenueFromContractWit"/>
            <w:bookmarkEnd w:id="445"/>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46" w:name="xdx_98D_eus-gaap--RevenueFromContractWit"/>
            <w:bookmarkEnd w:id="446"/>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47" w:name="xdx_984_eus-gaap--RevenueFromContractWit"/>
            <w:bookmarkEnd w:id="447"/>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497</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Sales</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8" w:name="xdx_980_eus-gaap--RevenueFromContractWit"/>
            <w:bookmarkEnd w:id="448"/>
          </w:p>
        </w:tc>
        <w:tc>
          <w:tcPr>
            <w:tcW w:w="9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15,332</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9" w:name="xdx_98A_eus-gaap--RevenueFromContractWit"/>
            <w:bookmarkEnd w:id="449"/>
          </w:p>
        </w:tc>
        <w:tc>
          <w:tcPr>
            <w:tcW w:w="9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0" w:name="xdx_986_eus-gaap--RevenueFromContractWit"/>
            <w:bookmarkEnd w:id="450"/>
          </w:p>
        </w:tc>
        <w:tc>
          <w:tcPr>
            <w:tcW w:w="8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28,290</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1" w:name="xdx_98E_eus-gaap--RevenueFromContractWit"/>
            <w:bookmarkEnd w:id="451"/>
          </w:p>
        </w:tc>
        <w:tc>
          <w:tcPr>
            <w:tcW w:w="8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34,984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52" w:name="xdx_8A2_z2vICbaSZSdc"/>
      <w:bookmarkEnd w:id="452"/>
      <w:r>
        <w:rPr>
          <w:caps w:val="false"/>
          <w:smallCaps w:val="false"/>
        </w:rPr>
        <w:t>  </w:t>
      </w:r>
    </w:p>
    <w:p>
      <w:pPr>
        <w:pStyle w:val="TextBody"/>
        <w:bidi w:val="0"/>
        <w:spacing w:before="0" w:after="0"/>
        <w:ind w:left="0" w:right="0" w:hanging="0"/>
        <w:jc w:val="left"/>
        <w:rPr>
          <w:caps w:val="false"/>
          <w:smallCaps w:val="false"/>
        </w:rPr>
      </w:pPr>
      <w:bookmarkStart w:id="453" w:name="xdx_811_zmtD6pI5IhTc"/>
      <w:bookmarkEnd w:id="45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4" w:name="xdx_800_eus-gaap--SubsequentEventsTextBl"/>
      <w:bookmarkEnd w:id="454"/>
      <w:r>
        <w:rPr>
          <w:rFonts w:ascii="Times New Roman;Times;Serif" w:hAnsi="Times New Roman;Times;Serif"/>
          <w:b/>
          <w:i w:val="false"/>
          <w:caps w:val="false"/>
          <w:smallCaps w:val="false"/>
          <w:sz w:val="20"/>
        </w:rPr>
        <w:t xml:space="preserve">(10) </w:t>
      </w:r>
      <w:bookmarkStart w:id="455" w:name="xdx_827_zvBS33VaIn61"/>
      <w:bookmarkEnd w:id="455"/>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subsequent to June 30, 2026 and prior to the issuance of these unaudited consolidated condensed financial statements, Solésence, LLC (“Solésence”), a wholly owned subsidiary of Solésence, Inc. (the “Company”), entered into a Settlement Agreement and Release (the “Settlement Agreement”) with Refy Beauty Ltd (“Refy”). The Settlement Agreement resolves disputes relating to certain consumer care products previously sold by Solésence to Refy.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underlying dispute related to conditions that existed as of June 30, 2026. The Settlement Agreement provided additional evidence regarding the measurement of the Company’s obligation associated with those conditions and, accordingly, was accounted for as a recognized subsequent event under ASC Topic 855,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 As of June 30, 2026, the Company recognized a settlement liability of $</w:t>
      </w:r>
      <w:bookmarkStart w:id="456" w:name="xdx_90F_eus-gaap--LossContingencyAccrual"/>
      <w:bookmarkEnd w:id="456"/>
      <w:r>
        <w:rPr>
          <w:rFonts w:ascii="Times New Roman;Times;Serif" w:hAnsi="Times New Roman;Times;Serif"/>
          <w:b w:val="false"/>
          <w:i w:val="false"/>
          <w:caps w:val="false"/>
          <w:smallCaps w:val="false"/>
          <w:sz w:val="20"/>
        </w:rPr>
        <w:t>938, with the corresponding amount reflected as a settlement expense classified as general and administrative in the unaudited consolidated condensed statements of operations for the three and six months ended June 30, 2026. Of the settlement liability recognized at June 30, 2026, the full amount was classified as short-term and included in the current liabilities section of the unaudited consolidated condensed balance sheet.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Agreement provides for an aggregate settlement amount of £</w:t>
      </w:r>
      <w:bookmarkStart w:id="457" w:name="xdx_902_eus-gaap--LitigationSettlementAm"/>
      <w:bookmarkEnd w:id="457"/>
      <w:r>
        <w:rPr>
          <w:rFonts w:ascii="Times New Roman;Times;Serif" w:hAnsi="Times New Roman;Times;Serif"/>
          <w:b w:val="false"/>
          <w:i w:val="false"/>
          <w:caps w:val="false"/>
          <w:smallCaps w:val="false"/>
          <w:sz w:val="20"/>
        </w:rPr>
        <w:t>700, payable in U.S. dollars using a fixed exchange rate of $</w:t>
      </w:r>
      <w:bookmarkStart w:id="458" w:name="xdx_90C_eus-gaap--ForeignCurrencyExchang"/>
      <w:bookmarkEnd w:id="458"/>
      <w:r>
        <w:rPr>
          <w:rFonts w:ascii="Times New Roman;Times;Serif" w:hAnsi="Times New Roman;Times;Serif"/>
          <w:b w:val="false"/>
          <w:i w:val="false"/>
          <w:caps w:val="false"/>
          <w:smallCaps w:val="false"/>
          <w:sz w:val="20"/>
        </w:rPr>
        <w:t>1.34 per British pound, resulting in an aggregate U.S. dollar obligation of $</w:t>
      </w:r>
      <w:bookmarkStart w:id="459" w:name="xdx_908_eus-gaap--LitigationSettlementAm"/>
      <w:bookmarkEnd w:id="459"/>
      <w:r>
        <w:rPr>
          <w:rFonts w:ascii="Times New Roman;Times;Serif" w:hAnsi="Times New Roman;Times;Serif"/>
          <w:b w:val="false"/>
          <w:i w:val="false"/>
          <w:caps w:val="false"/>
          <w:smallCaps w:val="false"/>
          <w:sz w:val="20"/>
        </w:rPr>
        <w:t>938. The first $</w:t>
      </w:r>
      <w:bookmarkStart w:id="460" w:name="xdx_903_eus-gaap--LitigationSettlementAm"/>
      <w:bookmarkEnd w:id="460"/>
      <w:r>
        <w:rPr>
          <w:rFonts w:ascii="Times New Roman;Times;Serif" w:hAnsi="Times New Roman;Times;Serif"/>
          <w:b w:val="false"/>
          <w:i w:val="false"/>
          <w:caps w:val="false"/>
          <w:smallCaps w:val="false"/>
          <w:sz w:val="20"/>
        </w:rPr>
        <w:t>469 is payable in six monthly installments beginning August 5, 2026 and ending January 4, 2027. The parties also agreed to a six-month exclusivity period during which they will seek to develop a new sun protection factor (“SPF”) product and negotiate a potential commercial agreement for the development and/or supply of the SPF product.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parties enter into such a commercial agreement during the exclusivity period, the remaining </w:t>
      </w:r>
      <w:bookmarkStart w:id="461" w:name="xdx_900_eus-gaap--LitigationSettlementAm"/>
      <w:bookmarkEnd w:id="461"/>
      <w:r>
        <w:rPr>
          <w:rFonts w:ascii="Times New Roman;Times;Serif" w:hAnsi="Times New Roman;Times;Serif"/>
          <w:b w:val="false"/>
          <w:i w:val="false"/>
          <w:caps w:val="false"/>
          <w:smallCaps w:val="false"/>
          <w:sz w:val="20"/>
        </w:rPr>
        <w:t xml:space="preserve">$469 of the settlement obligation will be applied as credits against purchases under that agreement. If the parties do not enter into a commercial agreement during the exclusivity period, the remaining </w:t>
      </w:r>
      <w:bookmarkStart w:id="462" w:name="xdx_90A_eus-gaap--LitigationSettlementAm"/>
      <w:bookmarkEnd w:id="462"/>
      <w:r>
        <w:rPr>
          <w:rFonts w:ascii="Times New Roman;Times;Serif" w:hAnsi="Times New Roman;Times;Serif"/>
          <w:b w:val="false"/>
          <w:i w:val="false"/>
          <w:caps w:val="false"/>
          <w:smallCaps w:val="false"/>
          <w:sz w:val="20"/>
        </w:rPr>
        <w:t xml:space="preserve">$469 will be payable in six monthly installments beginning February 3, 2027 and ending July 7, 2027. Because the aggregate settlement obligation is fixed, execution of a new commercial agreement affects only the form in which the final </w:t>
      </w:r>
      <w:bookmarkStart w:id="463" w:name="xdx_908_eus-gaap--LitigationSettlementAm"/>
      <w:bookmarkEnd w:id="463"/>
      <w:r>
        <w:rPr>
          <w:rFonts w:ascii="Times New Roman;Times;Serif" w:hAnsi="Times New Roman;Times;Serif"/>
          <w:b w:val="false"/>
          <w:i w:val="false"/>
          <w:caps w:val="false"/>
          <w:smallCaps w:val="false"/>
          <w:sz w:val="20"/>
        </w:rPr>
        <w:t>$469 is satisfied rather than the total amount of the obligation.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64" w:name="xdx_809_eus-gaap--ErrorCorrectionTextBlo"/>
      <w:bookmarkEnd w:id="464"/>
      <w:r>
        <w:rPr>
          <w:rFonts w:ascii="Times New Roman;Times;Serif" w:hAnsi="Times New Roman;Times;Serif"/>
          <w:b/>
          <w:i w:val="false"/>
          <w:caps w:val="false"/>
          <w:smallCaps w:val="false"/>
          <w:sz w:val="20"/>
        </w:rPr>
        <w:t xml:space="preserve">(11) </w:t>
      </w:r>
      <w:bookmarkStart w:id="465" w:name="xdx_82D_zvAdEpRC5kG4"/>
      <w:bookmarkEnd w:id="465"/>
      <w:r>
        <w:rPr>
          <w:rFonts w:ascii="Times New Roman;Times;Serif" w:hAnsi="Times New Roman;Times;Serif"/>
          <w:b/>
          <w:i w:val="false"/>
          <w:caps w:val="false"/>
          <w:smallCaps w:val="false"/>
          <w:sz w:val="20"/>
        </w:rPr>
        <w:t>Restatement of Previously Issued Consolidated Financial Statements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of the errors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its review of inventory accounting in connection with the preparation of its unaudited condensed consolidated financial statements for the quarter ended June 30, 2026, Solésence, Inc. (the “Company”) identified errors in its historical accounting for labor and overhead included in inventories. The historical process allocated certain labor and overhead between raw materials, work in process and finished goods using budget-based percentages and allocation bases that were not sufficiently supported. The process also did not consistently limit capitalized costs to eligible acquisition and production costs, allocate variable overhead based on actual activity, allocate fixed overhead based on normal capacity, or adjust standard or budgeted amounts so that they approximated actual cost. The Company concluded that the historical process did not comply with the inventory-costing requirements in ASC 330, Inventory.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inventories were overstated and cost of revenue were misstated. The errors also affected gross profit, operating income (loss), income (loss) before income taxes, net income (loss), basic and diluted earnings (loss) per share, accumulated deficit, total stockholders’ equity and related disclosures in the periods affected. The Company determined the correction from its accounting records, including general-ledger and inventory detail, cost-pool and burden-rate schedules, inventory roll-forwards and the Company’s internal inventory-cost model.</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left"/>
        <w:rPr/>
      </w:pPr>
      <w:r>
        <w:rPr/>
        <w:t> </w:t>
      </w:r>
    </w:p>
    <w:p>
      <w:pPr>
        <w:pStyle w:val="TextBody"/>
        <w:bidi w:val="0"/>
        <w:jc w:val="both"/>
        <w:rPr>
          <w:caps w:val="false"/>
          <w:smallCaps w:val="false"/>
        </w:rPr>
      </w:pPr>
      <w:bookmarkStart w:id="466" w:name="xdx_231_z99jTGVpiKvl"/>
      <w:bookmarkEnd w:id="466"/>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Restatement conclusion and affected filings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considering the requirements of ASC 250, Accounting Changes and Error Corrections, and the quantitative and qualitative factors in SEC Staff Accounting Bulletin (“SAB”) Topic 1.M and Topic 1.N, on August 17, 2026, the Audit Committee, Board of Directors and Executive Officers concluded that the Company’s previously issued consolidated financial statements as of and for December 31, 2023, March 31, 2024, June 30, 2024, September 30, 2024, December 31, 2024, March 31, 2025, June 30, 2025, September 30, 2025, December 31, 2025 and March 31, 2026 should no longer be relied upon and should be restated. The Company will reiterate its report of the corrections in a Current Report on Form 8-K filed on August 20, 2026. The Company expects to file amendments to its Annual Reports on Form 10-K which may include the years ended December 31, 2023, 2024 &amp; 2025 and its Quarterly Reports on Form 10-Q for the quarters ended March 31, 2024, June 30, 2024, September 30, 2024, March 31, 2025, June 30, 2025, September 30, 2025 and March 31, 2026 in the coming weeks.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preliminary analysis (subject to revision, if determined to be appropriate, in the amendments to the Reports listed in the immediately preceding paragraph), the accompanying unaudited condensed consolidated financial statements for the three and six months ended June 30, 2025 and the related notes have been restated to correct the errors. The balance sheet as of December 31, 2025 also has been restated. The financial statements for the three and six months ended June 30, 2026 were prepared using the corrected inventory-costing methodology and therefore are not themselves restated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bookmarkStart w:id="467" w:name="xdx_8BC_zye5DnOlKFQi"/>
      <w:bookmarkStart w:id="468" w:name="xdx_895_eus-gaap--ScheduleOfErrorCorrect"/>
      <w:bookmarkEnd w:id="467"/>
      <w:bookmarkEnd w:id="468"/>
      <w:r>
        <w:rPr>
          <w:rFonts w:ascii="Times New Roman;Times;Serif" w:hAnsi="Times New Roman;Times;Serif"/>
          <w:b w:val="false"/>
          <w:i w:val="false"/>
          <w:caps w:val="false"/>
          <w:smallCaps w:val="false"/>
          <w:sz w:val="20"/>
        </w:rPr>
        <w:t>The effects of the restatement on the previously issued financial statements presented or otherwise required to be disclosed in this Quarterly Report are set forth below. “As Previously Reported” amounts are derived from the applicable filed financial statements. “Adjustment” amounts reflect the correction of the inventory-costing errors and the related income-tax and per-share effects. Certain amounts may not sum due to rounding.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the consolidated balance sheet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bl>
      <w:tblPr>
        <w:tblW w:w="7250" w:type="dxa"/>
        <w:jc w:val="left"/>
        <w:tblInd w:w="-10" w:type="dxa"/>
        <w:tblLayout w:type="fixed"/>
        <w:tblCellMar>
          <w:top w:w="28" w:type="dxa"/>
          <w:left w:w="28" w:type="dxa"/>
          <w:bottom w:w="28" w:type="dxa"/>
          <w:right w:w="28" w:type="dxa"/>
        </w:tblCellMar>
      </w:tblPr>
      <w:tblGrid>
        <w:gridCol w:w="3350"/>
        <w:gridCol w:w="1940"/>
        <w:gridCol w:w="965"/>
        <w:gridCol w:w="995"/>
      </w:tblGrid>
      <w:tr>
        <w:trPr/>
        <w:tc>
          <w:tcPr>
            <w:tcW w:w="3350" w:type="dxa"/>
            <w:tcBorders>
              <w:top w:val="single" w:sz="8" w:space="0" w:color="B8C0C8"/>
              <w:left w:val="single" w:sz="8" w:space="0" w:color="B8C0C8"/>
              <w:bottom w:val="single" w:sz="8" w:space="0" w:color="B8C0C8"/>
              <w:right w:val="single" w:sz="8" w:space="0" w:color="B8C0C8"/>
            </w:tcBorders>
            <w:shd w:fill="F2F4F7" w:val="clear"/>
            <w:vAlign w:val="center"/>
          </w:tcPr>
          <w:p>
            <w:pPr>
              <w:pStyle w:val="TableContents"/>
              <w:bidi w:val="0"/>
              <w:spacing w:before="0" w:after="283"/>
              <w:jc w:val="both"/>
              <w:rPr>
                <w:sz w:val="20"/>
              </w:rPr>
            </w:pPr>
            <w:r>
              <w:rPr>
                <w:sz w:val="20"/>
              </w:rPr>
              <w:t>Line item</w:t>
            </w:r>
            <w:bookmarkStart w:id="469" w:name="xdx_49A_20251231__srt--RestatementAxis__"/>
            <w:bookmarkEnd w:id="469"/>
          </w:p>
        </w:tc>
        <w:tc>
          <w:tcPr>
            <w:tcW w:w="1940" w:type="dxa"/>
            <w:tcBorders>
              <w:top w:val="single" w:sz="8" w:space="0" w:color="B8C0C8"/>
              <w:bottom w:val="single" w:sz="8" w:space="0" w:color="B8C0C8"/>
              <w:right w:val="single" w:sz="8" w:space="0" w:color="B8C0C8"/>
            </w:tcBorders>
            <w:shd w:fill="F2F4F7" w:val="clear"/>
            <w:tcMar>
              <w:left w:w="0" w:type="dxa"/>
            </w:tcMar>
            <w:vAlign w:val="center"/>
          </w:tcPr>
          <w:p>
            <w:pPr>
              <w:pStyle w:val="TableContents"/>
              <w:bidi w:val="0"/>
              <w:spacing w:before="0" w:after="283"/>
              <w:jc w:val="both"/>
              <w:rPr>
                <w:sz w:val="20"/>
              </w:rPr>
            </w:pPr>
            <w:r>
              <w:rPr>
                <w:sz w:val="20"/>
              </w:rPr>
              <w:t>As Previously Reported</w:t>
            </w:r>
            <w:bookmarkStart w:id="470" w:name="xdx_496_20251231__srt--RestatementAxis__"/>
            <w:bookmarkEnd w:id="470"/>
          </w:p>
        </w:tc>
        <w:tc>
          <w:tcPr>
            <w:tcW w:w="965" w:type="dxa"/>
            <w:tcBorders>
              <w:top w:val="single" w:sz="8" w:space="0" w:color="B8C0C8"/>
              <w:bottom w:val="single" w:sz="8" w:space="0" w:color="B8C0C8"/>
              <w:right w:val="single" w:sz="8" w:space="0" w:color="B8C0C8"/>
            </w:tcBorders>
            <w:shd w:fill="F2F4F7" w:val="clear"/>
            <w:tcMar>
              <w:left w:w="0" w:type="dxa"/>
            </w:tcMar>
            <w:vAlign w:val="center"/>
          </w:tcPr>
          <w:p>
            <w:pPr>
              <w:pStyle w:val="TableContents"/>
              <w:bidi w:val="0"/>
              <w:spacing w:before="0" w:after="283"/>
              <w:jc w:val="both"/>
              <w:rPr>
                <w:sz w:val="20"/>
              </w:rPr>
            </w:pPr>
            <w:r>
              <w:rPr>
                <w:sz w:val="20"/>
              </w:rPr>
              <w:t>Adjustment</w:t>
            </w:r>
            <w:bookmarkStart w:id="471" w:name="xdx_49E_20251231_zzMjqHWJow66"/>
            <w:bookmarkEnd w:id="471"/>
          </w:p>
        </w:tc>
        <w:tc>
          <w:tcPr>
            <w:tcW w:w="995" w:type="dxa"/>
            <w:tcBorders>
              <w:top w:val="single" w:sz="8" w:space="0" w:color="B8C0C8"/>
              <w:bottom w:val="single" w:sz="8" w:space="0" w:color="B8C0C8"/>
              <w:right w:val="single" w:sz="8" w:space="0" w:color="B8C0C8"/>
            </w:tcBorders>
            <w:shd w:fill="F2F4F7" w:val="clear"/>
            <w:tcMar>
              <w:left w:w="0" w:type="dxa"/>
            </w:tcMar>
            <w:vAlign w:val="center"/>
          </w:tcPr>
          <w:p>
            <w:pPr>
              <w:pStyle w:val="TableContents"/>
              <w:bidi w:val="0"/>
              <w:spacing w:before="0" w:after="283"/>
              <w:jc w:val="both"/>
              <w:rPr>
                <w:sz w:val="20"/>
              </w:rPr>
            </w:pPr>
            <w:r>
              <w:rPr>
                <w:sz w:val="20"/>
              </w:rPr>
              <w:t>As Restated</w:t>
            </w:r>
            <w:bookmarkStart w:id="472" w:name="xdx_40E_eus-gaap--InventoryNet_iI_pn3n3_"/>
            <w:bookmarkEnd w:id="472"/>
          </w:p>
        </w:tc>
      </w:tr>
      <w:tr>
        <w:trPr/>
        <w:tc>
          <w:tcPr>
            <w:tcW w:w="3350"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Inventories, net</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$18,511</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$(3,548)</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$14,963</w:t>
            </w:r>
            <w:bookmarkStart w:id="473" w:name="xdx_40A_eus-gaap--AssetsCurrent_iI_pn3n3"/>
            <w:bookmarkEnd w:id="473"/>
          </w:p>
        </w:tc>
      </w:tr>
      <w:tr>
        <w:trPr/>
        <w:tc>
          <w:tcPr>
            <w:tcW w:w="3350"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Total current assets</w:t>
            </w:r>
          </w:p>
        </w:tc>
        <w:tc>
          <w:tcPr>
            <w:tcW w:w="1940"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28,776</w:t>
            </w:r>
          </w:p>
        </w:tc>
        <w:tc>
          <w:tcPr>
            <w:tcW w:w="965"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(3,548)</w:t>
            </w:r>
          </w:p>
        </w:tc>
        <w:tc>
          <w:tcPr>
            <w:tcW w:w="995"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25,228</w:t>
            </w:r>
            <w:bookmarkStart w:id="474" w:name="xdx_40E_eus-gaap--Assets_iI_pn3n3_zQqElI"/>
            <w:bookmarkEnd w:id="474"/>
          </w:p>
        </w:tc>
      </w:tr>
      <w:tr>
        <w:trPr/>
        <w:tc>
          <w:tcPr>
            <w:tcW w:w="3350"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Total assets</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50,055</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(3,548)</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46,507</w:t>
            </w:r>
            <w:bookmarkStart w:id="475" w:name="xdx_405_eus-gaap--RetainedEarningsAccumu"/>
            <w:bookmarkEnd w:id="475"/>
          </w:p>
        </w:tc>
      </w:tr>
      <w:tr>
        <w:trPr/>
        <w:tc>
          <w:tcPr>
            <w:tcW w:w="3350"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Accumulated deficit</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(98,638)</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(3,548)</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(102,186)</w:t>
            </w:r>
            <w:bookmarkStart w:id="476" w:name="xdx_40E_eus-gaap--StockholdersEquity_iI_"/>
            <w:bookmarkEnd w:id="476"/>
          </w:p>
        </w:tc>
      </w:tr>
      <w:tr>
        <w:trPr/>
        <w:tc>
          <w:tcPr>
            <w:tcW w:w="3350"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Total stockholders’ equity</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17,634</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(3,548)</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14,086</w:t>
            </w:r>
            <w:bookmarkStart w:id="477" w:name="xdx_408_eus-gaap--LiabilitiesAndStockhol"/>
            <w:bookmarkEnd w:id="477"/>
          </w:p>
        </w:tc>
      </w:tr>
      <w:tr>
        <w:trPr/>
        <w:tc>
          <w:tcPr>
            <w:tcW w:w="3350"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Total liabilities and stockholders’ equity</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50,055</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(3,548)</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46,507</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the consolidated statements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 June 30, 2025</w:t>
      </w:r>
    </w:p>
    <w:tbl>
      <w:tblPr>
        <w:tblW w:w="7475" w:type="dxa"/>
        <w:jc w:val="left"/>
        <w:tblInd w:w="-10" w:type="dxa"/>
        <w:tblLayout w:type="fixed"/>
        <w:tblCellMar>
          <w:top w:w="28" w:type="dxa"/>
          <w:left w:w="28" w:type="dxa"/>
          <w:bottom w:w="28" w:type="dxa"/>
          <w:right w:w="28" w:type="dxa"/>
        </w:tblCellMar>
      </w:tblPr>
      <w:tblGrid>
        <w:gridCol w:w="3575"/>
        <w:gridCol w:w="1940"/>
        <w:gridCol w:w="965"/>
        <w:gridCol w:w="995"/>
      </w:tblGrid>
      <w:tr>
        <w:trPr/>
        <w:tc>
          <w:tcPr>
            <w:tcW w:w="3575" w:type="dxa"/>
            <w:tcBorders>
              <w:top w:val="single" w:sz="8" w:space="0" w:color="B8C0C8"/>
              <w:left w:val="single" w:sz="8" w:space="0" w:color="B8C0C8"/>
              <w:bottom w:val="single" w:sz="8" w:space="0" w:color="B8C0C8"/>
              <w:right w:val="single" w:sz="8" w:space="0" w:color="B8C0C8"/>
            </w:tcBorders>
            <w:shd w:fill="F2F4F7" w:val="clear"/>
            <w:vAlign w:val="center"/>
          </w:tcPr>
          <w:p>
            <w:pPr>
              <w:pStyle w:val="TableContents"/>
              <w:bidi w:val="0"/>
              <w:spacing w:before="0" w:after="283"/>
              <w:jc w:val="both"/>
              <w:rPr>
                <w:sz w:val="20"/>
              </w:rPr>
            </w:pPr>
            <w:r>
              <w:rPr>
                <w:sz w:val="20"/>
              </w:rPr>
              <w:t>Line item</w:t>
            </w:r>
            <w:bookmarkStart w:id="478" w:name="xdx_49E_20250401__20250630__srt--Restate"/>
            <w:bookmarkEnd w:id="478"/>
          </w:p>
        </w:tc>
        <w:tc>
          <w:tcPr>
            <w:tcW w:w="1940" w:type="dxa"/>
            <w:tcBorders>
              <w:top w:val="single" w:sz="8" w:space="0" w:color="B8C0C8"/>
              <w:bottom w:val="single" w:sz="8" w:space="0" w:color="B8C0C8"/>
              <w:right w:val="single" w:sz="8" w:space="0" w:color="B8C0C8"/>
            </w:tcBorders>
            <w:shd w:fill="F2F4F7" w:val="clear"/>
            <w:tcMar>
              <w:left w:w="0" w:type="dxa"/>
            </w:tcMar>
            <w:vAlign w:val="center"/>
          </w:tcPr>
          <w:p>
            <w:pPr>
              <w:pStyle w:val="TableContents"/>
              <w:bidi w:val="0"/>
              <w:spacing w:before="0" w:after="283"/>
              <w:jc w:val="both"/>
              <w:rPr>
                <w:sz w:val="20"/>
              </w:rPr>
            </w:pPr>
            <w:r>
              <w:rPr>
                <w:sz w:val="20"/>
              </w:rPr>
              <w:t>As Previously Reported</w:t>
            </w:r>
            <w:bookmarkStart w:id="479" w:name="xdx_490_20250401__20250630__srt--Restate"/>
            <w:bookmarkEnd w:id="479"/>
          </w:p>
        </w:tc>
        <w:tc>
          <w:tcPr>
            <w:tcW w:w="965" w:type="dxa"/>
            <w:tcBorders>
              <w:top w:val="single" w:sz="8" w:space="0" w:color="B8C0C8"/>
              <w:bottom w:val="single" w:sz="8" w:space="0" w:color="B8C0C8"/>
              <w:right w:val="single" w:sz="8" w:space="0" w:color="B8C0C8"/>
            </w:tcBorders>
            <w:shd w:fill="F2F4F7" w:val="clear"/>
            <w:tcMar>
              <w:left w:w="0" w:type="dxa"/>
            </w:tcMar>
            <w:vAlign w:val="center"/>
          </w:tcPr>
          <w:p>
            <w:pPr>
              <w:pStyle w:val="TableContents"/>
              <w:bidi w:val="0"/>
              <w:spacing w:before="0" w:after="283"/>
              <w:jc w:val="both"/>
              <w:rPr>
                <w:sz w:val="20"/>
              </w:rPr>
            </w:pPr>
            <w:r>
              <w:rPr>
                <w:sz w:val="20"/>
              </w:rPr>
              <w:t>Adjustment</w:t>
            </w:r>
            <w:bookmarkStart w:id="480" w:name="xdx_492_20250401__20250630_zykKwSvvYvMj"/>
            <w:bookmarkEnd w:id="480"/>
          </w:p>
        </w:tc>
        <w:tc>
          <w:tcPr>
            <w:tcW w:w="995" w:type="dxa"/>
            <w:tcBorders>
              <w:top w:val="single" w:sz="8" w:space="0" w:color="B8C0C8"/>
              <w:bottom w:val="single" w:sz="8" w:space="0" w:color="B8C0C8"/>
              <w:right w:val="single" w:sz="8" w:space="0" w:color="B8C0C8"/>
            </w:tcBorders>
            <w:shd w:fill="F2F4F7" w:val="clear"/>
            <w:tcMar>
              <w:left w:w="0" w:type="dxa"/>
            </w:tcMar>
            <w:vAlign w:val="center"/>
          </w:tcPr>
          <w:p>
            <w:pPr>
              <w:pStyle w:val="TableContents"/>
              <w:bidi w:val="0"/>
              <w:spacing w:before="0" w:after="283"/>
              <w:jc w:val="both"/>
              <w:rPr>
                <w:sz w:val="20"/>
              </w:rPr>
            </w:pPr>
            <w:r>
              <w:rPr>
                <w:sz w:val="20"/>
              </w:rPr>
              <w:t>As Restated</w:t>
            </w:r>
            <w:bookmarkStart w:id="481" w:name="xdx_402_eus-gaap--CostOfGoodsAndServices"/>
            <w:bookmarkEnd w:id="481"/>
          </w:p>
        </w:tc>
      </w:tr>
      <w:tr>
        <w:trPr/>
        <w:tc>
          <w:tcPr>
            <w:tcW w:w="35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Cost of revenue</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$14,482</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(566)</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13,916</w:t>
            </w:r>
            <w:bookmarkStart w:id="482" w:name="xdx_40E_eus-gaap--GrossProfit_pn3n3_zCBB"/>
            <w:bookmarkEnd w:id="482"/>
          </w:p>
        </w:tc>
      </w:tr>
      <w:tr>
        <w:trPr/>
        <w:tc>
          <w:tcPr>
            <w:tcW w:w="3575"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Gross profit</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5,877</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566</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6,443</w:t>
            </w:r>
            <w:bookmarkStart w:id="483" w:name="xdx_40F_eus-gaap--ResearchAndDevelopment"/>
            <w:bookmarkEnd w:id="483"/>
          </w:p>
        </w:tc>
      </w:tr>
      <w:tr>
        <w:trPr/>
        <w:tc>
          <w:tcPr>
            <w:tcW w:w="35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Research and development expense</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955</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955</w:t>
            </w:r>
            <w:bookmarkStart w:id="484" w:name="xdx_403_eus-gaap--SellingGeneralAndAdmin"/>
            <w:bookmarkEnd w:id="484"/>
          </w:p>
        </w:tc>
      </w:tr>
      <w:tr>
        <w:trPr/>
        <w:tc>
          <w:tcPr>
            <w:tcW w:w="3575"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Selling, general and administrative expense</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3,012</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3,012</w:t>
            </w:r>
            <w:bookmarkStart w:id="485" w:name="xdx_406_eus-gaap--OperatingIncomeLoss_pn"/>
            <w:bookmarkEnd w:id="485"/>
          </w:p>
        </w:tc>
      </w:tr>
      <w:tr>
        <w:trPr/>
        <w:tc>
          <w:tcPr>
            <w:tcW w:w="35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Operating income</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1,910</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553</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2,476</w:t>
            </w:r>
            <w:bookmarkStart w:id="486" w:name="xdx_408_eus-gaap--InterestIncomeExpenseN"/>
            <w:bookmarkEnd w:id="486"/>
          </w:p>
        </w:tc>
      </w:tr>
      <w:tr>
        <w:trPr/>
        <w:tc>
          <w:tcPr>
            <w:tcW w:w="3575"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Interest expense, net</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87</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87</w:t>
            </w:r>
            <w:bookmarkStart w:id="487" w:name="xdx_402_eus-gaap--OtherNonoperatingIncom"/>
            <w:bookmarkEnd w:id="487"/>
          </w:p>
        </w:tc>
      </w:tr>
      <w:tr>
        <w:trPr/>
        <w:tc>
          <w:tcPr>
            <w:tcW w:w="35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Other income, net</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1,234</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1,234</w:t>
            </w:r>
            <w:bookmarkStart w:id="488" w:name="xdx_40D_eus-gaap--IncomeLossFromContinui"/>
            <w:bookmarkEnd w:id="488"/>
          </w:p>
        </w:tc>
      </w:tr>
      <w:tr>
        <w:trPr/>
        <w:tc>
          <w:tcPr>
            <w:tcW w:w="3575"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Income before income taxes</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3,057</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553</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3,623</w:t>
            </w:r>
            <w:bookmarkStart w:id="489" w:name="xdx_409_eus-gaap--IncomeTaxExpenseBenefi"/>
            <w:bookmarkEnd w:id="489"/>
          </w:p>
        </w:tc>
      </w:tr>
      <w:tr>
        <w:trPr/>
        <w:tc>
          <w:tcPr>
            <w:tcW w:w="35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Provision for income taxes</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390</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390</w:t>
            </w:r>
            <w:bookmarkStart w:id="490" w:name="xdx_409_eus-gaap--NetIncomeLoss_pn3n3_z1"/>
            <w:bookmarkEnd w:id="490"/>
          </w:p>
        </w:tc>
      </w:tr>
      <w:tr>
        <w:trPr/>
        <w:tc>
          <w:tcPr>
            <w:tcW w:w="3575"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Net income</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2,667</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566</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3,233</w:t>
            </w:r>
            <w:bookmarkStart w:id="491" w:name="xdx_40D_eus-gaap--EarningsPerShareBasic_"/>
            <w:bookmarkEnd w:id="491"/>
          </w:p>
        </w:tc>
      </w:tr>
      <w:tr>
        <w:trPr/>
        <w:tc>
          <w:tcPr>
            <w:tcW w:w="35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Net income per share — basic</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$0.04</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$0.04</w:t>
            </w:r>
            <w:bookmarkStart w:id="492" w:name="xdx_400_eus-gaap--EarningsPerShareDilute"/>
            <w:bookmarkEnd w:id="492"/>
          </w:p>
        </w:tc>
      </w:tr>
      <w:tr>
        <w:trPr/>
        <w:tc>
          <w:tcPr>
            <w:tcW w:w="3575"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Net income per share — diluted</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$0.04</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$0.04</w:t>
            </w:r>
            <w:bookmarkStart w:id="493" w:name="xdx_40F_eus-gaap--WeightedAverageNumberO"/>
            <w:bookmarkEnd w:id="493"/>
          </w:p>
        </w:tc>
      </w:tr>
      <w:tr>
        <w:trPr/>
        <w:tc>
          <w:tcPr>
            <w:tcW w:w="35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Weighted-average shares — basic</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70,200,039</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70,200,039</w:t>
            </w:r>
            <w:bookmarkStart w:id="494" w:name="xdx_40F_eus-gaap--WeightedAverageNumberO"/>
            <w:bookmarkEnd w:id="494"/>
          </w:p>
        </w:tc>
      </w:tr>
      <w:tr>
        <w:trPr/>
        <w:tc>
          <w:tcPr>
            <w:tcW w:w="3575"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Weighted-average shares — diluted</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72,580,679</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72,580,679</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left"/>
        <w:rPr/>
      </w:pPr>
      <w:r>
        <w:rPr/>
        <w:t> </w:t>
      </w:r>
    </w:p>
    <w:p>
      <w:pPr>
        <w:pStyle w:val="TextBody"/>
        <w:bidi w:val="0"/>
        <w:jc w:val="both"/>
        <w:rPr>
          <w:caps w:val="false"/>
          <w:smallCaps w:val="false"/>
        </w:rPr>
      </w:pPr>
      <w:bookmarkStart w:id="495" w:name="xdx_233_zuTPCXvKGXB5"/>
      <w:bookmarkEnd w:id="495"/>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 months ended June 30, 2025</w:t>
      </w:r>
    </w:p>
    <w:p>
      <w:pPr>
        <w:pStyle w:val="TextBody"/>
        <w:bidi w:val="0"/>
        <w:jc w:val="both"/>
        <w:rPr>
          <w:caps w:val="false"/>
          <w:smallCaps w:val="false"/>
        </w:rPr>
      </w:pPr>
      <w:r>
        <w:rPr>
          <w:caps w:val="false"/>
          <w:smallCaps w:val="false"/>
        </w:rPr>
        <w:t> </w:t>
      </w:r>
    </w:p>
    <w:tbl>
      <w:tblPr>
        <w:tblW w:w="7475" w:type="dxa"/>
        <w:jc w:val="left"/>
        <w:tblInd w:w="-10" w:type="dxa"/>
        <w:tblLayout w:type="fixed"/>
        <w:tblCellMar>
          <w:top w:w="28" w:type="dxa"/>
          <w:left w:w="28" w:type="dxa"/>
          <w:bottom w:w="28" w:type="dxa"/>
          <w:right w:w="28" w:type="dxa"/>
        </w:tblCellMar>
      </w:tblPr>
      <w:tblGrid>
        <w:gridCol w:w="3575"/>
        <w:gridCol w:w="1940"/>
        <w:gridCol w:w="965"/>
        <w:gridCol w:w="995"/>
      </w:tblGrid>
      <w:tr>
        <w:trPr/>
        <w:tc>
          <w:tcPr>
            <w:tcW w:w="3575" w:type="dxa"/>
            <w:tcBorders>
              <w:top w:val="single" w:sz="8" w:space="0" w:color="B8C0C8"/>
              <w:left w:val="single" w:sz="8" w:space="0" w:color="B8C0C8"/>
              <w:bottom w:val="single" w:sz="8" w:space="0" w:color="B8C0C8"/>
              <w:right w:val="single" w:sz="8" w:space="0" w:color="B8C0C8"/>
            </w:tcBorders>
            <w:shd w:fill="F2F4F7" w:val="clear"/>
            <w:vAlign w:val="center"/>
          </w:tcPr>
          <w:p>
            <w:pPr>
              <w:pStyle w:val="TableContents"/>
              <w:bidi w:val="0"/>
              <w:spacing w:before="0" w:after="283"/>
              <w:jc w:val="both"/>
              <w:rPr>
                <w:sz w:val="20"/>
              </w:rPr>
            </w:pPr>
            <w:r>
              <w:rPr>
                <w:sz w:val="20"/>
              </w:rPr>
              <w:t>Line item</w:t>
            </w:r>
            <w:bookmarkStart w:id="496" w:name="xdx_493_20250101__20250630__srt--Restate"/>
            <w:bookmarkEnd w:id="496"/>
          </w:p>
        </w:tc>
        <w:tc>
          <w:tcPr>
            <w:tcW w:w="1940" w:type="dxa"/>
            <w:tcBorders>
              <w:top w:val="single" w:sz="8" w:space="0" w:color="B8C0C8"/>
              <w:bottom w:val="single" w:sz="8" w:space="0" w:color="B8C0C8"/>
              <w:right w:val="single" w:sz="8" w:space="0" w:color="B8C0C8"/>
            </w:tcBorders>
            <w:shd w:fill="F2F4F7" w:val="clear"/>
            <w:tcMar>
              <w:left w:w="0" w:type="dxa"/>
            </w:tcMar>
            <w:vAlign w:val="center"/>
          </w:tcPr>
          <w:p>
            <w:pPr>
              <w:pStyle w:val="TableContents"/>
              <w:bidi w:val="0"/>
              <w:spacing w:before="0" w:after="283"/>
              <w:jc w:val="both"/>
              <w:rPr>
                <w:sz w:val="20"/>
              </w:rPr>
            </w:pPr>
            <w:r>
              <w:rPr>
                <w:sz w:val="20"/>
              </w:rPr>
              <w:t>As Previously Reported</w:t>
            </w:r>
            <w:bookmarkStart w:id="497" w:name="xdx_496_20250101__20250630__srt--Restate"/>
            <w:bookmarkEnd w:id="497"/>
          </w:p>
        </w:tc>
        <w:tc>
          <w:tcPr>
            <w:tcW w:w="965" w:type="dxa"/>
            <w:tcBorders>
              <w:top w:val="single" w:sz="8" w:space="0" w:color="B8C0C8"/>
              <w:bottom w:val="single" w:sz="8" w:space="0" w:color="B8C0C8"/>
              <w:right w:val="single" w:sz="8" w:space="0" w:color="B8C0C8"/>
            </w:tcBorders>
            <w:shd w:fill="F2F4F7" w:val="clear"/>
            <w:tcMar>
              <w:left w:w="0" w:type="dxa"/>
            </w:tcMar>
            <w:vAlign w:val="center"/>
          </w:tcPr>
          <w:p>
            <w:pPr>
              <w:pStyle w:val="TableContents"/>
              <w:bidi w:val="0"/>
              <w:spacing w:before="0" w:after="283"/>
              <w:jc w:val="both"/>
              <w:rPr>
                <w:sz w:val="20"/>
              </w:rPr>
            </w:pPr>
            <w:r>
              <w:rPr>
                <w:sz w:val="20"/>
              </w:rPr>
              <w:t>Adjustment</w:t>
            </w:r>
            <w:bookmarkStart w:id="498" w:name="xdx_498_20250101__20250630_zqB2wJuazW61"/>
            <w:bookmarkEnd w:id="498"/>
          </w:p>
        </w:tc>
        <w:tc>
          <w:tcPr>
            <w:tcW w:w="995" w:type="dxa"/>
            <w:tcBorders>
              <w:top w:val="single" w:sz="8" w:space="0" w:color="B8C0C8"/>
              <w:bottom w:val="single" w:sz="8" w:space="0" w:color="B8C0C8"/>
              <w:right w:val="single" w:sz="8" w:space="0" w:color="B8C0C8"/>
            </w:tcBorders>
            <w:shd w:fill="F2F4F7" w:val="clear"/>
            <w:tcMar>
              <w:left w:w="0" w:type="dxa"/>
            </w:tcMar>
            <w:vAlign w:val="center"/>
          </w:tcPr>
          <w:p>
            <w:pPr>
              <w:pStyle w:val="TableContents"/>
              <w:bidi w:val="0"/>
              <w:spacing w:before="0" w:after="283"/>
              <w:jc w:val="both"/>
              <w:rPr>
                <w:sz w:val="20"/>
              </w:rPr>
            </w:pPr>
            <w:r>
              <w:rPr>
                <w:sz w:val="20"/>
              </w:rPr>
              <w:t>As Restated</w:t>
            </w:r>
            <w:bookmarkStart w:id="499" w:name="xdx_402_eus-gaap--CostOfGoodsAndServices"/>
            <w:bookmarkEnd w:id="499"/>
          </w:p>
        </w:tc>
      </w:tr>
      <w:tr>
        <w:trPr/>
        <w:tc>
          <w:tcPr>
            <w:tcW w:w="35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Cost of revenue</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$25,725</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(830)</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24,895</w:t>
            </w:r>
            <w:bookmarkStart w:id="500" w:name="xdx_40E_eus-gaap--GrossProfit_pn3n3_zQPW"/>
            <w:bookmarkEnd w:id="500"/>
          </w:p>
        </w:tc>
      </w:tr>
      <w:tr>
        <w:trPr/>
        <w:tc>
          <w:tcPr>
            <w:tcW w:w="3575"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Gross profit</w:t>
            </w:r>
          </w:p>
        </w:tc>
        <w:tc>
          <w:tcPr>
            <w:tcW w:w="1940"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9,259</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830</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10,089</w:t>
            </w:r>
            <w:bookmarkStart w:id="501" w:name="xdx_40F_eus-gaap--ResearchAndDevelopment"/>
            <w:bookmarkEnd w:id="501"/>
          </w:p>
        </w:tc>
      </w:tr>
      <w:tr>
        <w:trPr/>
        <w:tc>
          <w:tcPr>
            <w:tcW w:w="35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Research and development expense</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1,973</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1,973</w:t>
            </w:r>
            <w:bookmarkStart w:id="502" w:name="xdx_403_eus-gaap--SellingGeneralAndAdmin"/>
            <w:bookmarkEnd w:id="502"/>
          </w:p>
        </w:tc>
      </w:tr>
      <w:tr>
        <w:trPr/>
        <w:tc>
          <w:tcPr>
            <w:tcW w:w="3575"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Selling, general and administrative expense</w:t>
            </w:r>
          </w:p>
        </w:tc>
        <w:tc>
          <w:tcPr>
            <w:tcW w:w="1940"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5,120</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5,120</w:t>
            </w:r>
            <w:bookmarkStart w:id="503" w:name="xdx_406_eus-gaap--OperatingIncomeLoss_pn"/>
            <w:bookmarkEnd w:id="503"/>
          </w:p>
        </w:tc>
      </w:tr>
      <w:tr>
        <w:trPr/>
        <w:tc>
          <w:tcPr>
            <w:tcW w:w="35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Operating income</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2,166</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830</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2,996</w:t>
            </w:r>
            <w:bookmarkStart w:id="504" w:name="xdx_405_eus-gaap--InterestIncomeExpenseN"/>
            <w:bookmarkEnd w:id="504"/>
          </w:p>
        </w:tc>
      </w:tr>
      <w:tr>
        <w:trPr/>
        <w:tc>
          <w:tcPr>
            <w:tcW w:w="3575"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Interest expense, net</w:t>
            </w:r>
          </w:p>
        </w:tc>
        <w:tc>
          <w:tcPr>
            <w:tcW w:w="1940"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263</w:t>
            </w:r>
          </w:p>
        </w:tc>
        <w:tc>
          <w:tcPr>
            <w:tcW w:w="965"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263</w:t>
            </w:r>
            <w:bookmarkStart w:id="505" w:name="xdx_402_eus-gaap--OtherNonoperatingIncom"/>
            <w:bookmarkEnd w:id="505"/>
          </w:p>
        </w:tc>
      </w:tr>
      <w:tr>
        <w:trPr/>
        <w:tc>
          <w:tcPr>
            <w:tcW w:w="35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Other income, net</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1,234</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1,234</w:t>
            </w:r>
            <w:bookmarkStart w:id="506" w:name="xdx_40D_eus-gaap--IncomeLossFromContinui"/>
            <w:bookmarkEnd w:id="506"/>
          </w:p>
        </w:tc>
      </w:tr>
      <w:tr>
        <w:trPr/>
        <w:tc>
          <w:tcPr>
            <w:tcW w:w="3575"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Income before income taxes</w:t>
            </w:r>
          </w:p>
        </w:tc>
        <w:tc>
          <w:tcPr>
            <w:tcW w:w="1940"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3,137</w:t>
            </w:r>
          </w:p>
        </w:tc>
        <w:tc>
          <w:tcPr>
            <w:tcW w:w="965"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830</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3,967</w:t>
            </w:r>
            <w:bookmarkStart w:id="507" w:name="xdx_409_eus-gaap--IncomeTaxExpenseBenefi"/>
            <w:bookmarkEnd w:id="507"/>
          </w:p>
        </w:tc>
      </w:tr>
      <w:tr>
        <w:trPr/>
        <w:tc>
          <w:tcPr>
            <w:tcW w:w="35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Provision for income taxes</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390</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390</w:t>
            </w:r>
            <w:bookmarkStart w:id="508" w:name="xdx_409_eus-gaap--NetIncomeLoss_pn3n3_zU"/>
            <w:bookmarkEnd w:id="508"/>
          </w:p>
        </w:tc>
      </w:tr>
      <w:tr>
        <w:trPr/>
        <w:tc>
          <w:tcPr>
            <w:tcW w:w="3575"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Net income</w:t>
            </w:r>
          </w:p>
        </w:tc>
        <w:tc>
          <w:tcPr>
            <w:tcW w:w="1940"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2,747</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830</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3,577</w:t>
            </w:r>
            <w:bookmarkStart w:id="509" w:name="xdx_40D_eus-gaap--EarningsPerShareBasic_"/>
            <w:bookmarkEnd w:id="509"/>
          </w:p>
        </w:tc>
      </w:tr>
      <w:tr>
        <w:trPr/>
        <w:tc>
          <w:tcPr>
            <w:tcW w:w="35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Net income per share — basic</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$0.04</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$0.01</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$0.05</w:t>
            </w:r>
            <w:bookmarkStart w:id="510" w:name="xdx_400_eus-gaap--EarningsPerShareDilute"/>
            <w:bookmarkEnd w:id="510"/>
          </w:p>
        </w:tc>
      </w:tr>
      <w:tr>
        <w:trPr/>
        <w:tc>
          <w:tcPr>
            <w:tcW w:w="3575"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Net income per share — diluted</w:t>
            </w:r>
          </w:p>
        </w:tc>
        <w:tc>
          <w:tcPr>
            <w:tcW w:w="1940"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$0.04</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$0.01</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$0.05</w:t>
            </w:r>
            <w:bookmarkStart w:id="511" w:name="xdx_40F_eus-gaap--WeightedAverageNumberO"/>
            <w:bookmarkEnd w:id="511"/>
          </w:p>
        </w:tc>
      </w:tr>
      <w:tr>
        <w:trPr/>
        <w:tc>
          <w:tcPr>
            <w:tcW w:w="35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Weighted-average shares — basic</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70,151,928</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70,151,928</w:t>
            </w:r>
            <w:bookmarkStart w:id="512" w:name="xdx_40F_eus-gaap--WeightedAverageNumberO"/>
            <w:bookmarkEnd w:id="512"/>
          </w:p>
        </w:tc>
      </w:tr>
      <w:tr>
        <w:trPr/>
        <w:tc>
          <w:tcPr>
            <w:tcW w:w="3575"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Weighted-average shares — diluted</w:t>
            </w:r>
          </w:p>
        </w:tc>
        <w:tc>
          <w:tcPr>
            <w:tcW w:w="1940"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72,497,929</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72,497,929</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the previously issued first-quarter 2026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 — consolidated balance sheet</w:t>
      </w:r>
    </w:p>
    <w:p>
      <w:pPr>
        <w:pStyle w:val="TextBody"/>
        <w:bidi w:val="0"/>
        <w:jc w:val="both"/>
        <w:rPr>
          <w:caps w:val="false"/>
          <w:smallCaps w:val="false"/>
        </w:rPr>
      </w:pPr>
      <w:r>
        <w:rPr>
          <w:caps w:val="false"/>
          <w:smallCaps w:val="false"/>
        </w:rPr>
        <w:t> </w:t>
      </w:r>
    </w:p>
    <w:tbl>
      <w:tblPr>
        <w:tblW w:w="7250" w:type="dxa"/>
        <w:jc w:val="left"/>
        <w:tblInd w:w="-10" w:type="dxa"/>
        <w:tblLayout w:type="fixed"/>
        <w:tblCellMar>
          <w:top w:w="28" w:type="dxa"/>
          <w:left w:w="28" w:type="dxa"/>
          <w:bottom w:w="28" w:type="dxa"/>
          <w:right w:w="28" w:type="dxa"/>
        </w:tblCellMar>
      </w:tblPr>
      <w:tblGrid>
        <w:gridCol w:w="3350"/>
        <w:gridCol w:w="1940"/>
        <w:gridCol w:w="965"/>
        <w:gridCol w:w="995"/>
      </w:tblGrid>
      <w:tr>
        <w:trPr/>
        <w:tc>
          <w:tcPr>
            <w:tcW w:w="3350" w:type="dxa"/>
            <w:tcBorders>
              <w:top w:val="single" w:sz="8" w:space="0" w:color="B8C0C8"/>
              <w:left w:val="single" w:sz="8" w:space="0" w:color="B8C0C8"/>
              <w:bottom w:val="single" w:sz="8" w:space="0" w:color="B8C0C8"/>
              <w:right w:val="single" w:sz="8" w:space="0" w:color="B8C0C8"/>
            </w:tcBorders>
            <w:shd w:fill="F2F4F7" w:val="clear"/>
            <w:vAlign w:val="center"/>
          </w:tcPr>
          <w:p>
            <w:pPr>
              <w:pStyle w:val="TableContents"/>
              <w:bidi w:val="0"/>
              <w:spacing w:before="0" w:after="283"/>
              <w:jc w:val="both"/>
              <w:rPr>
                <w:sz w:val="20"/>
              </w:rPr>
            </w:pPr>
            <w:r>
              <w:rPr>
                <w:sz w:val="20"/>
              </w:rPr>
              <w:t>Line item</w:t>
            </w:r>
            <w:bookmarkStart w:id="513" w:name="xdx_491_20260331__srt--RestatementAxis__"/>
            <w:bookmarkEnd w:id="513"/>
          </w:p>
        </w:tc>
        <w:tc>
          <w:tcPr>
            <w:tcW w:w="1940" w:type="dxa"/>
            <w:tcBorders>
              <w:top w:val="single" w:sz="8" w:space="0" w:color="B8C0C8"/>
              <w:bottom w:val="single" w:sz="8" w:space="0" w:color="B8C0C8"/>
              <w:right w:val="single" w:sz="8" w:space="0" w:color="B8C0C8"/>
            </w:tcBorders>
            <w:shd w:fill="F2F4F7" w:val="clear"/>
            <w:tcMar>
              <w:left w:w="0" w:type="dxa"/>
            </w:tcMar>
            <w:vAlign w:val="center"/>
          </w:tcPr>
          <w:p>
            <w:pPr>
              <w:pStyle w:val="TableContents"/>
              <w:bidi w:val="0"/>
              <w:spacing w:before="0" w:after="283"/>
              <w:jc w:val="both"/>
              <w:rPr>
                <w:sz w:val="20"/>
              </w:rPr>
            </w:pPr>
            <w:r>
              <w:rPr>
                <w:sz w:val="20"/>
              </w:rPr>
              <w:t>As Previously Reported</w:t>
            </w:r>
            <w:bookmarkStart w:id="514" w:name="xdx_498_20260331__srt--RestatementAxis__"/>
            <w:bookmarkEnd w:id="514"/>
          </w:p>
        </w:tc>
        <w:tc>
          <w:tcPr>
            <w:tcW w:w="965" w:type="dxa"/>
            <w:tcBorders>
              <w:top w:val="single" w:sz="8" w:space="0" w:color="B8C0C8"/>
              <w:bottom w:val="single" w:sz="8" w:space="0" w:color="B8C0C8"/>
              <w:right w:val="single" w:sz="8" w:space="0" w:color="B8C0C8"/>
            </w:tcBorders>
            <w:shd w:fill="F2F4F7" w:val="clear"/>
            <w:tcMar>
              <w:left w:w="0" w:type="dxa"/>
            </w:tcMar>
            <w:vAlign w:val="center"/>
          </w:tcPr>
          <w:p>
            <w:pPr>
              <w:pStyle w:val="TableContents"/>
              <w:bidi w:val="0"/>
              <w:spacing w:before="0" w:after="283"/>
              <w:jc w:val="both"/>
              <w:rPr>
                <w:sz w:val="20"/>
              </w:rPr>
            </w:pPr>
            <w:r>
              <w:rPr>
                <w:sz w:val="20"/>
              </w:rPr>
              <w:t>Adjustment</w:t>
            </w:r>
            <w:bookmarkStart w:id="515" w:name="xdx_497_20260331_z1b3mWvtwyd9"/>
            <w:bookmarkEnd w:id="515"/>
          </w:p>
        </w:tc>
        <w:tc>
          <w:tcPr>
            <w:tcW w:w="995" w:type="dxa"/>
            <w:tcBorders>
              <w:top w:val="single" w:sz="8" w:space="0" w:color="B8C0C8"/>
              <w:bottom w:val="single" w:sz="8" w:space="0" w:color="B8C0C8"/>
              <w:right w:val="single" w:sz="8" w:space="0" w:color="B8C0C8"/>
            </w:tcBorders>
            <w:shd w:fill="F2F4F7" w:val="clear"/>
            <w:tcMar>
              <w:left w:w="0" w:type="dxa"/>
            </w:tcMar>
            <w:vAlign w:val="center"/>
          </w:tcPr>
          <w:p>
            <w:pPr>
              <w:pStyle w:val="TableContents"/>
              <w:bidi w:val="0"/>
              <w:spacing w:before="0" w:after="283"/>
              <w:jc w:val="both"/>
              <w:rPr>
                <w:sz w:val="20"/>
              </w:rPr>
            </w:pPr>
            <w:r>
              <w:rPr>
                <w:sz w:val="20"/>
              </w:rPr>
              <w:t>As Restated</w:t>
            </w:r>
            <w:bookmarkStart w:id="516" w:name="xdx_40E_eus-gaap--InventoryNet_iI_pn3n3_"/>
            <w:bookmarkEnd w:id="516"/>
          </w:p>
        </w:tc>
      </w:tr>
      <w:tr>
        <w:trPr/>
        <w:tc>
          <w:tcPr>
            <w:tcW w:w="3350"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Inventories, net</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$17,559</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$(3,744)</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$13,815</w:t>
            </w:r>
            <w:bookmarkStart w:id="517" w:name="xdx_40A_eus-gaap--AssetsCurrent_iI_pn3n3"/>
            <w:bookmarkEnd w:id="517"/>
          </w:p>
        </w:tc>
      </w:tr>
      <w:tr>
        <w:trPr/>
        <w:tc>
          <w:tcPr>
            <w:tcW w:w="3350"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Total current assets</w:t>
            </w:r>
          </w:p>
        </w:tc>
        <w:tc>
          <w:tcPr>
            <w:tcW w:w="1940"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26,413</w:t>
            </w:r>
          </w:p>
        </w:tc>
        <w:tc>
          <w:tcPr>
            <w:tcW w:w="965"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(3,744)</w:t>
            </w:r>
          </w:p>
        </w:tc>
        <w:tc>
          <w:tcPr>
            <w:tcW w:w="995"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22,672</w:t>
            </w:r>
            <w:bookmarkStart w:id="518" w:name="xdx_40E_eus-gaap--Assets_iI_pn3n3_zF5O38"/>
            <w:bookmarkEnd w:id="518"/>
          </w:p>
        </w:tc>
      </w:tr>
      <w:tr>
        <w:trPr/>
        <w:tc>
          <w:tcPr>
            <w:tcW w:w="3350"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Total assets</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47,794</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(3,744)</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44,050</w:t>
            </w:r>
            <w:bookmarkStart w:id="519" w:name="xdx_405_eus-gaap--RetainedEarningsAccumu"/>
            <w:bookmarkEnd w:id="519"/>
          </w:p>
        </w:tc>
      </w:tr>
      <w:tr>
        <w:trPr/>
        <w:tc>
          <w:tcPr>
            <w:tcW w:w="3350"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Accumulated deficit</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(99,404)</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(3,744)</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(103,148)</w:t>
            </w:r>
            <w:bookmarkStart w:id="520" w:name="xdx_40E_eus-gaap--StockholdersEquity_iI_"/>
            <w:bookmarkEnd w:id="520"/>
          </w:p>
        </w:tc>
      </w:tr>
      <w:tr>
        <w:trPr/>
        <w:tc>
          <w:tcPr>
            <w:tcW w:w="3350"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Total stockholders’ equity</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16,967</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(3,744)</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13,223</w:t>
            </w:r>
            <w:bookmarkStart w:id="521" w:name="xdx_408_eus-gaap--LiabilitiesAndStockhol"/>
            <w:bookmarkEnd w:id="521"/>
          </w:p>
        </w:tc>
      </w:tr>
      <w:tr>
        <w:trPr/>
        <w:tc>
          <w:tcPr>
            <w:tcW w:w="3350"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Total liabilities and stockholders’ equity</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47,794</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(3,744)</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44,050</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 March 31, 2026 — consolidated statement of operations</w:t>
      </w:r>
    </w:p>
    <w:tbl>
      <w:tblPr>
        <w:tblW w:w="7475" w:type="dxa"/>
        <w:jc w:val="left"/>
        <w:tblInd w:w="-10" w:type="dxa"/>
        <w:tblLayout w:type="fixed"/>
        <w:tblCellMar>
          <w:top w:w="28" w:type="dxa"/>
          <w:left w:w="28" w:type="dxa"/>
          <w:bottom w:w="28" w:type="dxa"/>
          <w:right w:w="28" w:type="dxa"/>
        </w:tblCellMar>
      </w:tblPr>
      <w:tblGrid>
        <w:gridCol w:w="3575"/>
        <w:gridCol w:w="1940"/>
        <w:gridCol w:w="965"/>
        <w:gridCol w:w="995"/>
      </w:tblGrid>
      <w:tr>
        <w:trPr/>
        <w:tc>
          <w:tcPr>
            <w:tcW w:w="3575" w:type="dxa"/>
            <w:tcBorders>
              <w:top w:val="single" w:sz="8" w:space="0" w:color="B8C0C8"/>
              <w:left w:val="single" w:sz="8" w:space="0" w:color="B8C0C8"/>
              <w:bottom w:val="single" w:sz="8" w:space="0" w:color="B8C0C8"/>
              <w:right w:val="single" w:sz="8" w:space="0" w:color="B8C0C8"/>
            </w:tcBorders>
            <w:shd w:fill="F2F4F7" w:val="clear"/>
            <w:vAlign w:val="center"/>
          </w:tcPr>
          <w:p>
            <w:pPr>
              <w:pStyle w:val="TableContents"/>
              <w:bidi w:val="0"/>
              <w:spacing w:before="0" w:after="283"/>
              <w:jc w:val="both"/>
              <w:rPr>
                <w:sz w:val="20"/>
              </w:rPr>
            </w:pPr>
            <w:r>
              <w:rPr>
                <w:sz w:val="20"/>
              </w:rPr>
              <w:t>Line item</w:t>
            </w:r>
            <w:bookmarkStart w:id="522" w:name="xdx_495_20260101__20260331__srt--Restate"/>
            <w:bookmarkEnd w:id="522"/>
          </w:p>
        </w:tc>
        <w:tc>
          <w:tcPr>
            <w:tcW w:w="1940" w:type="dxa"/>
            <w:tcBorders>
              <w:top w:val="single" w:sz="8" w:space="0" w:color="B8C0C8"/>
              <w:bottom w:val="single" w:sz="8" w:space="0" w:color="B8C0C8"/>
              <w:right w:val="single" w:sz="8" w:space="0" w:color="B8C0C8"/>
            </w:tcBorders>
            <w:shd w:fill="F2F4F7" w:val="clear"/>
            <w:tcMar>
              <w:left w:w="0" w:type="dxa"/>
            </w:tcMar>
            <w:vAlign w:val="center"/>
          </w:tcPr>
          <w:p>
            <w:pPr>
              <w:pStyle w:val="TableContents"/>
              <w:bidi w:val="0"/>
              <w:spacing w:before="0" w:after="283"/>
              <w:jc w:val="both"/>
              <w:rPr>
                <w:sz w:val="20"/>
              </w:rPr>
            </w:pPr>
            <w:r>
              <w:rPr>
                <w:sz w:val="20"/>
              </w:rPr>
              <w:t>As Previously Reported</w:t>
            </w:r>
            <w:bookmarkStart w:id="523" w:name="xdx_49D_20260101__20260331__srt--Restate"/>
            <w:bookmarkEnd w:id="523"/>
          </w:p>
        </w:tc>
        <w:tc>
          <w:tcPr>
            <w:tcW w:w="965" w:type="dxa"/>
            <w:tcBorders>
              <w:top w:val="single" w:sz="8" w:space="0" w:color="B8C0C8"/>
              <w:bottom w:val="single" w:sz="8" w:space="0" w:color="B8C0C8"/>
              <w:right w:val="single" w:sz="8" w:space="0" w:color="B8C0C8"/>
            </w:tcBorders>
            <w:shd w:fill="F2F4F7" w:val="clear"/>
            <w:tcMar>
              <w:left w:w="0" w:type="dxa"/>
            </w:tcMar>
            <w:vAlign w:val="center"/>
          </w:tcPr>
          <w:p>
            <w:pPr>
              <w:pStyle w:val="TableContents"/>
              <w:bidi w:val="0"/>
              <w:spacing w:before="0" w:after="283"/>
              <w:jc w:val="both"/>
              <w:rPr>
                <w:sz w:val="20"/>
              </w:rPr>
            </w:pPr>
            <w:r>
              <w:rPr>
                <w:sz w:val="20"/>
              </w:rPr>
              <w:t>Adjustment</w:t>
            </w:r>
            <w:bookmarkStart w:id="524" w:name="xdx_496_20260101__20260331_zYftZ52RQBie"/>
            <w:bookmarkEnd w:id="524"/>
          </w:p>
        </w:tc>
        <w:tc>
          <w:tcPr>
            <w:tcW w:w="995" w:type="dxa"/>
            <w:tcBorders>
              <w:top w:val="single" w:sz="8" w:space="0" w:color="B8C0C8"/>
              <w:bottom w:val="single" w:sz="8" w:space="0" w:color="B8C0C8"/>
              <w:right w:val="single" w:sz="8" w:space="0" w:color="B8C0C8"/>
            </w:tcBorders>
            <w:shd w:fill="F2F4F7" w:val="clear"/>
            <w:tcMar>
              <w:left w:w="0" w:type="dxa"/>
            </w:tcMar>
            <w:vAlign w:val="center"/>
          </w:tcPr>
          <w:p>
            <w:pPr>
              <w:pStyle w:val="TableContents"/>
              <w:bidi w:val="0"/>
              <w:spacing w:before="0" w:after="283"/>
              <w:jc w:val="both"/>
              <w:rPr>
                <w:sz w:val="20"/>
              </w:rPr>
            </w:pPr>
            <w:r>
              <w:rPr>
                <w:sz w:val="20"/>
              </w:rPr>
              <w:t>As Restated</w:t>
            </w:r>
            <w:bookmarkStart w:id="525" w:name="xdx_402_eus-gaap--CostOfGoodsAndServices"/>
            <w:bookmarkEnd w:id="525"/>
          </w:p>
        </w:tc>
      </w:tr>
      <w:tr>
        <w:trPr/>
        <w:tc>
          <w:tcPr>
            <w:tcW w:w="35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Cost of revenue</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$9,620</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196</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9,816</w:t>
            </w:r>
            <w:bookmarkStart w:id="526" w:name="xdx_40E_eus-gaap--GrossProfit_pn3n3_zP18"/>
            <w:bookmarkEnd w:id="526"/>
          </w:p>
        </w:tc>
      </w:tr>
      <w:tr>
        <w:trPr/>
        <w:tc>
          <w:tcPr>
            <w:tcW w:w="3575"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Gross profit</w:t>
            </w:r>
          </w:p>
        </w:tc>
        <w:tc>
          <w:tcPr>
            <w:tcW w:w="1940"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3,337</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(196)</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3,141</w:t>
            </w:r>
            <w:bookmarkStart w:id="527" w:name="xdx_40F_eus-gaap--ResearchAndDevelopment"/>
            <w:bookmarkEnd w:id="527"/>
          </w:p>
        </w:tc>
      </w:tr>
      <w:tr>
        <w:trPr/>
        <w:tc>
          <w:tcPr>
            <w:tcW w:w="35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Research and development expense</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1,042</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1,042</w:t>
            </w:r>
            <w:bookmarkStart w:id="528" w:name="xdx_403_eus-gaap--SellingGeneralAndAdmin"/>
            <w:bookmarkEnd w:id="528"/>
          </w:p>
        </w:tc>
      </w:tr>
      <w:tr>
        <w:trPr/>
        <w:tc>
          <w:tcPr>
            <w:tcW w:w="3575"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Selling, general and administrative expense</w:t>
            </w:r>
          </w:p>
        </w:tc>
        <w:tc>
          <w:tcPr>
            <w:tcW w:w="1940"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2,799</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2,799</w:t>
            </w:r>
            <w:bookmarkStart w:id="529" w:name="xdx_406_eus-gaap--OperatingIncomeLoss_pn"/>
            <w:bookmarkEnd w:id="529"/>
          </w:p>
        </w:tc>
      </w:tr>
      <w:tr>
        <w:trPr/>
        <w:tc>
          <w:tcPr>
            <w:tcW w:w="35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Operating loss</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(504)</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(196)</w:t>
            </w:r>
            <w:bookmarkStart w:id="530" w:name="xdx_988_eus-gaap--OperatingIncomeLoss_pn"/>
            <w:bookmarkEnd w:id="530"/>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(700)</w:t>
            </w:r>
            <w:bookmarkStart w:id="531" w:name="xdx_40D_eus-gaap--IncomeLossFromContinui"/>
            <w:bookmarkEnd w:id="531"/>
          </w:p>
        </w:tc>
      </w:tr>
      <w:tr>
        <w:trPr/>
        <w:tc>
          <w:tcPr>
            <w:tcW w:w="3575"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Loss before income taxes</w:t>
            </w:r>
          </w:p>
        </w:tc>
        <w:tc>
          <w:tcPr>
            <w:tcW w:w="1940"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(766)</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(196)</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(962)</w:t>
            </w:r>
            <w:bookmarkStart w:id="532" w:name="xdx_409_eus-gaap--IncomeTaxExpenseBenefi"/>
            <w:bookmarkEnd w:id="532"/>
          </w:p>
        </w:tc>
      </w:tr>
      <w:tr>
        <w:trPr/>
        <w:tc>
          <w:tcPr>
            <w:tcW w:w="35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Provision for income taxes</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bookmarkStart w:id="533" w:name="xdx_409_eus-gaap--NetIncomeLoss_pn3n3_zQ"/>
            <w:bookmarkEnd w:id="533"/>
          </w:p>
        </w:tc>
      </w:tr>
      <w:tr>
        <w:trPr/>
        <w:tc>
          <w:tcPr>
            <w:tcW w:w="3575"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Net loss</w:t>
            </w:r>
          </w:p>
        </w:tc>
        <w:tc>
          <w:tcPr>
            <w:tcW w:w="1940"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(766)</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(196)</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(962)</w:t>
            </w:r>
            <w:bookmarkStart w:id="534" w:name="xdx_40D_eus-gaap--EarningsPerShareBasic_"/>
            <w:bookmarkEnd w:id="534"/>
          </w:p>
        </w:tc>
      </w:tr>
      <w:tr>
        <w:trPr/>
        <w:tc>
          <w:tcPr>
            <w:tcW w:w="35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Net loss per share — basic</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$(0.01)</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$0.00</w:t>
            </w:r>
            <w:bookmarkStart w:id="535" w:name="xdx_988_eus-gaap--EarningsPerShareBasic_"/>
            <w:bookmarkEnd w:id="535"/>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$(0.01)</w:t>
            </w:r>
            <w:bookmarkStart w:id="536" w:name="xdx_40C_eus-gaap--EarningsPerShareDilute"/>
            <w:bookmarkEnd w:id="536"/>
          </w:p>
        </w:tc>
      </w:tr>
      <w:tr>
        <w:trPr/>
        <w:tc>
          <w:tcPr>
            <w:tcW w:w="3575"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Net loss per share — diluted</w:t>
            </w:r>
          </w:p>
        </w:tc>
        <w:tc>
          <w:tcPr>
            <w:tcW w:w="1940"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$(0.01)</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$0.00</w:t>
            </w:r>
            <w:bookmarkStart w:id="537" w:name="xdx_981_eus-gaap--EarningsPerShareDilute"/>
            <w:bookmarkEnd w:id="537"/>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$(0.01)</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the consolidated statement of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 months ended June 30, 2025</w:t>
      </w:r>
    </w:p>
    <w:tbl>
      <w:tblPr>
        <w:tblW w:w="6875" w:type="dxa"/>
        <w:jc w:val="left"/>
        <w:tblInd w:w="-10" w:type="dxa"/>
        <w:tblLayout w:type="fixed"/>
        <w:tblCellMar>
          <w:top w:w="28" w:type="dxa"/>
          <w:left w:w="28" w:type="dxa"/>
          <w:bottom w:w="28" w:type="dxa"/>
          <w:right w:w="28" w:type="dxa"/>
        </w:tblCellMar>
      </w:tblPr>
      <w:tblGrid>
        <w:gridCol w:w="2975"/>
        <w:gridCol w:w="1940"/>
        <w:gridCol w:w="965"/>
        <w:gridCol w:w="995"/>
      </w:tblGrid>
      <w:tr>
        <w:trPr/>
        <w:tc>
          <w:tcPr>
            <w:tcW w:w="2975" w:type="dxa"/>
            <w:tcBorders>
              <w:top w:val="single" w:sz="8" w:space="0" w:color="B8C0C8"/>
              <w:left w:val="single" w:sz="8" w:space="0" w:color="B8C0C8"/>
              <w:bottom w:val="single" w:sz="8" w:space="0" w:color="B8C0C8"/>
              <w:right w:val="single" w:sz="8" w:space="0" w:color="B8C0C8"/>
            </w:tcBorders>
            <w:shd w:fill="F2F4F7" w:val="clear"/>
            <w:vAlign w:val="center"/>
          </w:tcPr>
          <w:p>
            <w:pPr>
              <w:pStyle w:val="TableContents"/>
              <w:bidi w:val="0"/>
              <w:spacing w:before="0" w:after="283"/>
              <w:jc w:val="both"/>
              <w:rPr>
                <w:sz w:val="20"/>
              </w:rPr>
            </w:pPr>
            <w:r>
              <w:rPr>
                <w:sz w:val="20"/>
              </w:rPr>
              <w:t>Line item</w:t>
            </w:r>
            <w:bookmarkStart w:id="538" w:name="xdx_491_20250101__20250630__srt--Restate"/>
            <w:bookmarkEnd w:id="538"/>
          </w:p>
        </w:tc>
        <w:tc>
          <w:tcPr>
            <w:tcW w:w="1940" w:type="dxa"/>
            <w:tcBorders>
              <w:top w:val="single" w:sz="8" w:space="0" w:color="B8C0C8"/>
              <w:bottom w:val="single" w:sz="8" w:space="0" w:color="B8C0C8"/>
              <w:right w:val="single" w:sz="8" w:space="0" w:color="B8C0C8"/>
            </w:tcBorders>
            <w:shd w:fill="F2F4F7" w:val="clear"/>
            <w:tcMar>
              <w:left w:w="0" w:type="dxa"/>
            </w:tcMar>
            <w:vAlign w:val="center"/>
          </w:tcPr>
          <w:p>
            <w:pPr>
              <w:pStyle w:val="TableContents"/>
              <w:bidi w:val="0"/>
              <w:spacing w:before="0" w:after="283"/>
              <w:jc w:val="both"/>
              <w:rPr>
                <w:sz w:val="20"/>
              </w:rPr>
            </w:pPr>
            <w:r>
              <w:rPr>
                <w:sz w:val="20"/>
              </w:rPr>
              <w:t>As Previously Reported</w:t>
            </w:r>
            <w:bookmarkStart w:id="539" w:name="xdx_49D_20250101__20250630__srt--Restate"/>
            <w:bookmarkEnd w:id="539"/>
          </w:p>
        </w:tc>
        <w:tc>
          <w:tcPr>
            <w:tcW w:w="965" w:type="dxa"/>
            <w:tcBorders>
              <w:top w:val="single" w:sz="8" w:space="0" w:color="B8C0C8"/>
              <w:bottom w:val="single" w:sz="8" w:space="0" w:color="B8C0C8"/>
              <w:right w:val="single" w:sz="8" w:space="0" w:color="B8C0C8"/>
            </w:tcBorders>
            <w:shd w:fill="F2F4F7" w:val="clear"/>
            <w:tcMar>
              <w:left w:w="0" w:type="dxa"/>
            </w:tcMar>
            <w:vAlign w:val="center"/>
          </w:tcPr>
          <w:p>
            <w:pPr>
              <w:pStyle w:val="TableContents"/>
              <w:bidi w:val="0"/>
              <w:spacing w:before="0" w:after="283"/>
              <w:jc w:val="both"/>
              <w:rPr>
                <w:sz w:val="20"/>
              </w:rPr>
            </w:pPr>
            <w:r>
              <w:rPr>
                <w:sz w:val="20"/>
              </w:rPr>
              <w:t>Adjustment</w:t>
            </w:r>
            <w:bookmarkStart w:id="540" w:name="xdx_499_20250101__20250630_zo1ojmKYi6F7"/>
            <w:bookmarkEnd w:id="540"/>
          </w:p>
        </w:tc>
        <w:tc>
          <w:tcPr>
            <w:tcW w:w="995" w:type="dxa"/>
            <w:tcBorders>
              <w:top w:val="single" w:sz="8" w:space="0" w:color="B8C0C8"/>
              <w:bottom w:val="single" w:sz="8" w:space="0" w:color="B8C0C8"/>
              <w:right w:val="single" w:sz="8" w:space="0" w:color="B8C0C8"/>
            </w:tcBorders>
            <w:shd w:fill="F2F4F7" w:val="clear"/>
            <w:tcMar>
              <w:left w:w="0" w:type="dxa"/>
            </w:tcMar>
            <w:vAlign w:val="center"/>
          </w:tcPr>
          <w:p>
            <w:pPr>
              <w:pStyle w:val="TableContents"/>
              <w:bidi w:val="0"/>
              <w:spacing w:before="0" w:after="283"/>
              <w:jc w:val="both"/>
              <w:rPr>
                <w:sz w:val="20"/>
              </w:rPr>
            </w:pPr>
            <w:r>
              <w:rPr>
                <w:sz w:val="20"/>
              </w:rPr>
              <w:t>As Restated</w:t>
            </w:r>
            <w:bookmarkStart w:id="541" w:name="xdx_40E_eus-gaap--NetIncomeLoss_pn3n3_zv"/>
            <w:bookmarkEnd w:id="541"/>
          </w:p>
        </w:tc>
      </w:tr>
      <w:tr>
        <w:trPr/>
        <w:tc>
          <w:tcPr>
            <w:tcW w:w="29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Net income</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$2,747</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830</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3,577</w:t>
            </w:r>
            <w:bookmarkStart w:id="542" w:name="xdx_40D_eus-gaap--IncreaseDecreaseInInve"/>
            <w:bookmarkEnd w:id="542"/>
          </w:p>
        </w:tc>
      </w:tr>
      <w:tr>
        <w:trPr/>
        <w:tc>
          <w:tcPr>
            <w:tcW w:w="29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Inventories, net</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435</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(830)</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(395)</w:t>
            </w:r>
            <w:bookmarkStart w:id="543" w:name="xdx_40B_eus-gaap--NetCashProvidedByUsedI"/>
            <w:bookmarkEnd w:id="543"/>
          </w:p>
        </w:tc>
      </w:tr>
      <w:tr>
        <w:trPr/>
        <w:tc>
          <w:tcPr>
            <w:tcW w:w="29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Net cash used in operating activities</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(7,875)</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(7,875)</w:t>
            </w:r>
            <w:bookmarkStart w:id="544" w:name="xdx_40F_eus-gaap--CashCashEquivalentsRes"/>
            <w:bookmarkEnd w:id="544"/>
          </w:p>
        </w:tc>
      </w:tr>
      <w:tr>
        <w:trPr/>
        <w:tc>
          <w:tcPr>
            <w:tcW w:w="29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Net increase in cash</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2,699</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2,699</w:t>
            </w:r>
            <w:bookmarkStart w:id="545" w:name="xdx_404_eus-gaap--CashCashEquivalentsRes"/>
            <w:bookmarkEnd w:id="545"/>
          </w:p>
        </w:tc>
      </w:tr>
      <w:tr>
        <w:trPr/>
        <w:tc>
          <w:tcPr>
            <w:tcW w:w="2975"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Cash at end of period</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$4,108</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pPr>
            <w:r>
              <w:rPr/>
              <w:t>—</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$4,108</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left"/>
        <w:rPr/>
      </w:pPr>
      <w:r>
        <w:rPr/>
        <w:t> </w:t>
      </w:r>
    </w:p>
    <w:p>
      <w:pPr>
        <w:pStyle w:val="TextBody"/>
        <w:bidi w:val="0"/>
        <w:jc w:val="both"/>
        <w:rPr>
          <w:caps w:val="false"/>
          <w:smallCaps w:val="false"/>
        </w:rPr>
      </w:pPr>
      <w:bookmarkStart w:id="546" w:name="xdx_234_zEcLzV2bRB0a"/>
      <w:bookmarkEnd w:id="546"/>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stockholders’ equity</w:t>
      </w:r>
    </w:p>
    <w:p>
      <w:pPr>
        <w:pStyle w:val="TextBody"/>
        <w:bidi w:val="0"/>
        <w:jc w:val="both"/>
        <w:rPr>
          <w:caps w:val="false"/>
          <w:smallCaps w:val="false"/>
        </w:rPr>
      </w:pPr>
      <w:r>
        <w:rPr>
          <w:caps w:val="false"/>
          <w:smallCaps w:val="false"/>
        </w:rPr>
        <w:t> </w:t>
      </w:r>
    </w:p>
    <w:tbl>
      <w:tblPr>
        <w:tblW w:w="7940" w:type="dxa"/>
        <w:jc w:val="left"/>
        <w:tblInd w:w="-10" w:type="dxa"/>
        <w:tblLayout w:type="fixed"/>
        <w:tblCellMar>
          <w:top w:w="28" w:type="dxa"/>
          <w:left w:w="28" w:type="dxa"/>
          <w:bottom w:w="28" w:type="dxa"/>
          <w:right w:w="28" w:type="dxa"/>
        </w:tblCellMar>
      </w:tblPr>
      <w:tblGrid>
        <w:gridCol w:w="4040"/>
        <w:gridCol w:w="1940"/>
        <w:gridCol w:w="965"/>
        <w:gridCol w:w="995"/>
      </w:tblGrid>
      <w:tr>
        <w:trPr/>
        <w:tc>
          <w:tcPr>
            <w:tcW w:w="4040" w:type="dxa"/>
            <w:tcBorders>
              <w:top w:val="single" w:sz="8" w:space="0" w:color="B8C0C8"/>
              <w:left w:val="single" w:sz="8" w:space="0" w:color="B8C0C8"/>
              <w:bottom w:val="single" w:sz="8" w:space="0" w:color="B8C0C8"/>
              <w:right w:val="single" w:sz="8" w:space="0" w:color="B8C0C8"/>
            </w:tcBorders>
            <w:shd w:fill="F2F4F7" w:val="clear"/>
            <w:vAlign w:val="center"/>
          </w:tcPr>
          <w:p>
            <w:pPr>
              <w:pStyle w:val="TableContents"/>
              <w:bidi w:val="0"/>
              <w:spacing w:before="0" w:after="283"/>
              <w:jc w:val="both"/>
              <w:rPr>
                <w:sz w:val="20"/>
              </w:rPr>
            </w:pPr>
            <w:r>
              <w:rPr>
                <w:sz w:val="20"/>
              </w:rPr>
              <w:t>Line item</w:t>
            </w:r>
            <w:bookmarkStart w:id="547" w:name="xdx_4B2_srt--RestatementAxis_srt--Scenar"/>
            <w:bookmarkEnd w:id="547"/>
          </w:p>
        </w:tc>
        <w:tc>
          <w:tcPr>
            <w:tcW w:w="1940" w:type="dxa"/>
            <w:tcBorders>
              <w:top w:val="single" w:sz="8" w:space="0" w:color="B8C0C8"/>
              <w:bottom w:val="single" w:sz="8" w:space="0" w:color="B8C0C8"/>
              <w:right w:val="single" w:sz="8" w:space="0" w:color="B8C0C8"/>
            </w:tcBorders>
            <w:shd w:fill="F2F4F7" w:val="clear"/>
            <w:tcMar>
              <w:left w:w="0" w:type="dxa"/>
            </w:tcMar>
            <w:vAlign w:val="center"/>
          </w:tcPr>
          <w:p>
            <w:pPr>
              <w:pStyle w:val="TableContents"/>
              <w:bidi w:val="0"/>
              <w:spacing w:before="0" w:after="283"/>
              <w:jc w:val="both"/>
              <w:rPr>
                <w:sz w:val="20"/>
              </w:rPr>
            </w:pPr>
            <w:r>
              <w:rPr>
                <w:sz w:val="20"/>
              </w:rPr>
              <w:t>As Previously Reported</w:t>
            </w:r>
            <w:bookmarkStart w:id="548" w:name="xdx_4BB_srt--RestatementAxis_srt--Revisi"/>
            <w:bookmarkEnd w:id="548"/>
          </w:p>
        </w:tc>
        <w:tc>
          <w:tcPr>
            <w:tcW w:w="965" w:type="dxa"/>
            <w:tcBorders>
              <w:top w:val="single" w:sz="8" w:space="0" w:color="B8C0C8"/>
              <w:bottom w:val="single" w:sz="8" w:space="0" w:color="B8C0C8"/>
              <w:right w:val="single" w:sz="8" w:space="0" w:color="B8C0C8"/>
            </w:tcBorders>
            <w:shd w:fill="F2F4F7" w:val="clear"/>
            <w:tcMar>
              <w:left w:w="0" w:type="dxa"/>
            </w:tcMar>
            <w:vAlign w:val="center"/>
          </w:tcPr>
          <w:p>
            <w:pPr>
              <w:pStyle w:val="TableContents"/>
              <w:bidi w:val="0"/>
              <w:spacing w:before="0" w:after="283"/>
              <w:jc w:val="both"/>
              <w:rPr>
                <w:sz w:val="20"/>
              </w:rPr>
            </w:pPr>
            <w:r>
              <w:rPr>
                <w:sz w:val="20"/>
              </w:rPr>
              <w:t>Adjustment</w:t>
            </w:r>
            <w:bookmarkStart w:id="549" w:name="xdx_4BE_zRNUJmg8M6N9"/>
            <w:bookmarkEnd w:id="549"/>
          </w:p>
        </w:tc>
        <w:tc>
          <w:tcPr>
            <w:tcW w:w="995" w:type="dxa"/>
            <w:tcBorders>
              <w:top w:val="single" w:sz="8" w:space="0" w:color="B8C0C8"/>
              <w:bottom w:val="single" w:sz="8" w:space="0" w:color="B8C0C8"/>
              <w:right w:val="single" w:sz="8" w:space="0" w:color="B8C0C8"/>
            </w:tcBorders>
            <w:shd w:fill="F2F4F7" w:val="clear"/>
            <w:tcMar>
              <w:left w:w="0" w:type="dxa"/>
            </w:tcMar>
            <w:vAlign w:val="center"/>
          </w:tcPr>
          <w:p>
            <w:pPr>
              <w:pStyle w:val="TableContents"/>
              <w:bidi w:val="0"/>
              <w:spacing w:before="0" w:after="283"/>
              <w:jc w:val="both"/>
              <w:rPr>
                <w:sz w:val="20"/>
              </w:rPr>
            </w:pPr>
            <w:r>
              <w:rPr>
                <w:sz w:val="20"/>
              </w:rPr>
              <w:t>As Restated</w:t>
            </w:r>
            <w:bookmarkStart w:id="550" w:name="xdx_439_c20241231__us-gaap--StatementEqu"/>
            <w:bookmarkEnd w:id="550"/>
          </w:p>
        </w:tc>
      </w:tr>
      <w:tr>
        <w:trPr/>
        <w:tc>
          <w:tcPr>
            <w:tcW w:w="4040"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Accumulated deficit — December 31, 2024</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$(100,428)</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(4,593)</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$(105,021)</w:t>
            </w:r>
            <w:bookmarkStart w:id="551" w:name="xdx_43D_c20241231_eus-gaap--Stockholders"/>
            <w:bookmarkEnd w:id="551"/>
          </w:p>
        </w:tc>
      </w:tr>
      <w:tr>
        <w:trPr/>
        <w:tc>
          <w:tcPr>
            <w:tcW w:w="4040"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Total stockholders’ equity — December 31, 2024</w:t>
            </w:r>
          </w:p>
        </w:tc>
        <w:tc>
          <w:tcPr>
            <w:tcW w:w="1940"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14,946</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(4,593)</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10,353</w:t>
            </w:r>
            <w:bookmarkStart w:id="552" w:name="xdx_434_c20250101__20250331_eus-gaap--Ne"/>
            <w:bookmarkEnd w:id="552"/>
          </w:p>
        </w:tc>
      </w:tr>
      <w:tr>
        <w:trPr/>
        <w:tc>
          <w:tcPr>
            <w:tcW w:w="4040"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Q1 2025 net income</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80</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263</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343</w:t>
            </w:r>
            <w:bookmarkStart w:id="553" w:name="xdx_43F_c20250401__20250630_eus-gaap--Ne"/>
            <w:bookmarkEnd w:id="553"/>
          </w:p>
        </w:tc>
      </w:tr>
      <w:tr>
        <w:trPr/>
        <w:tc>
          <w:tcPr>
            <w:tcW w:w="4040"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Q2 2025 net income</w:t>
            </w:r>
          </w:p>
        </w:tc>
        <w:tc>
          <w:tcPr>
            <w:tcW w:w="1940"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2,667</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566</w:t>
            </w:r>
            <w:bookmarkStart w:id="554" w:name="xdx_981_eus-gaap--NetIncomeLoss_pn3n3_c2"/>
            <w:bookmarkEnd w:id="554"/>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3,233</w:t>
            </w:r>
            <w:bookmarkStart w:id="555" w:name="xdx_436_c20250630__us-gaap--StatementEqu"/>
            <w:bookmarkEnd w:id="555"/>
          </w:p>
        </w:tc>
      </w:tr>
      <w:tr>
        <w:trPr/>
        <w:tc>
          <w:tcPr>
            <w:tcW w:w="4040" w:type="dxa"/>
            <w:tcBorders>
              <w:left w:val="single" w:sz="8" w:space="0" w:color="B8C0C8"/>
              <w:bottom w:val="single" w:sz="8" w:space="0" w:color="B8C0C8"/>
              <w:right w:val="single" w:sz="8" w:space="0" w:color="B8C0C8"/>
            </w:tcBorders>
            <w:tcMar>
              <w:top w:w="0" w:type="dxa"/>
            </w:tcMar>
            <w:vAlign w:val="center"/>
          </w:tcPr>
          <w:p>
            <w:pPr>
              <w:pStyle w:val="TableContents"/>
              <w:bidi w:val="0"/>
              <w:spacing w:before="0" w:after="283"/>
              <w:jc w:val="both"/>
              <w:rPr>
                <w:sz w:val="20"/>
              </w:rPr>
            </w:pPr>
            <w:r>
              <w:rPr>
                <w:sz w:val="20"/>
              </w:rPr>
              <w:t>Accumulated deficit — June 30, 2025</w:t>
            </w:r>
          </w:p>
        </w:tc>
        <w:tc>
          <w:tcPr>
            <w:tcW w:w="1940"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(97,681)</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(4,505)</w:t>
            </w:r>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(102,186)</w:t>
            </w:r>
            <w:bookmarkStart w:id="556" w:name="xdx_43E_c20250630_eus-gaap--Stockholders"/>
            <w:bookmarkEnd w:id="556"/>
          </w:p>
        </w:tc>
      </w:tr>
      <w:tr>
        <w:trPr/>
        <w:tc>
          <w:tcPr>
            <w:tcW w:w="4040" w:type="dxa"/>
            <w:tcBorders>
              <w:left w:val="single" w:sz="8" w:space="0" w:color="B8C0C8"/>
              <w:bottom w:val="single" w:sz="8" w:space="0" w:color="B8C0C8"/>
              <w:right w:val="single" w:sz="8" w:space="0" w:color="B8C0C8"/>
            </w:tcBorders>
            <w:shd w:fill="FAFBFC" w:val="clear"/>
            <w:tcMar>
              <w:top w:w="0" w:type="dxa"/>
            </w:tcMar>
            <w:vAlign w:val="center"/>
          </w:tcPr>
          <w:p>
            <w:pPr>
              <w:pStyle w:val="TableContents"/>
              <w:bidi w:val="0"/>
              <w:spacing w:before="0" w:after="283"/>
              <w:jc w:val="both"/>
              <w:rPr>
                <w:sz w:val="20"/>
              </w:rPr>
            </w:pPr>
            <w:r>
              <w:rPr>
                <w:sz w:val="20"/>
              </w:rPr>
              <w:t>Total stockholders’ equity — June 30, 2025</w:t>
            </w:r>
          </w:p>
        </w:tc>
        <w:tc>
          <w:tcPr>
            <w:tcW w:w="1940" w:type="dxa"/>
            <w:tcBorders>
              <w:bottom w:val="single" w:sz="8" w:space="0" w:color="B8C0C8"/>
              <w:right w:val="single" w:sz="8" w:space="0" w:color="B8C0C8"/>
            </w:tcBorders>
            <w:shd w:fill="FAFBFC" w:val="clear"/>
            <w:tcMar>
              <w:top w:w="0" w:type="dxa"/>
              <w:left w:w="0" w:type="dxa"/>
            </w:tcMar>
            <w:vAlign w:val="center"/>
          </w:tcPr>
          <w:p>
            <w:pPr>
              <w:pStyle w:val="TableContents"/>
              <w:bidi w:val="0"/>
              <w:spacing w:before="0" w:after="283"/>
              <w:jc w:val="both"/>
              <w:rPr>
                <w:sz w:val="20"/>
              </w:rPr>
            </w:pPr>
            <w:r>
              <w:rPr>
                <w:sz w:val="20"/>
              </w:rPr>
              <w:t>18,188</w:t>
            </w:r>
          </w:p>
        </w:tc>
        <w:tc>
          <w:tcPr>
            <w:tcW w:w="96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(3,764)</w:t>
            </w:r>
            <w:bookmarkStart w:id="557" w:name="xdx_987_eus-gaap--StockholdersEquity_iI_"/>
            <w:bookmarkEnd w:id="557"/>
          </w:p>
        </w:tc>
        <w:tc>
          <w:tcPr>
            <w:tcW w:w="995" w:type="dxa"/>
            <w:tcBorders>
              <w:bottom w:val="single" w:sz="8" w:space="0" w:color="B8C0C8"/>
              <w:right w:val="single" w:sz="8" w:space="0" w:color="B8C0C8"/>
            </w:tcBorders>
            <w:tcMar>
              <w:top w:w="0" w:type="dxa"/>
              <w:left w:w="0" w:type="dxa"/>
            </w:tcMar>
            <w:vAlign w:val="center"/>
          </w:tcPr>
          <w:p>
            <w:pPr>
              <w:pStyle w:val="TableContents"/>
              <w:bidi w:val="0"/>
              <w:spacing w:before="0" w:after="283"/>
              <w:jc w:val="both"/>
              <w:rPr>
                <w:sz w:val="20"/>
              </w:rPr>
            </w:pPr>
            <w:r>
              <w:rPr>
                <w:sz w:val="20"/>
              </w:rPr>
              <w:t>14,424</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558" w:name="xdx_8AF_z3zGKT50LA4g"/>
      <w:bookmarkEnd w:id="558"/>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cumulative pretax inventory overstatement at December 31, 2024 was </w:t>
      </w:r>
      <w:bookmarkStart w:id="559" w:name="xdx_905_eus-gaap--InventoryNet_iNI_pn3n3"/>
      <w:bookmarkEnd w:id="559"/>
      <w:r>
        <w:rPr>
          <w:rFonts w:ascii="Times New Roman;Times;Serif" w:hAnsi="Times New Roman;Times;Serif"/>
          <w:b w:val="false"/>
          <w:i w:val="false"/>
          <w:caps w:val="false"/>
          <w:smallCaps w:val="false"/>
          <w:sz w:val="20"/>
        </w:rPr>
        <w:t>$4,613. The corresponding opening-equity adjustment must be stated net of the final income-tax effect and must be aligned with the earliest period presented after the complete December 31, 2023 bridge is available.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disclosures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updated Note 7 Inventories, net to present corrected inventory by class. The Company also evaluated the effects of the restatement on its debt arrangements, liquidity disclosures and classification of obligations; see Note 6 for additional information.</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60" w:name="sol10qa007a"/>
      <w:bookmarkEnd w:id="560"/>
      <w:r>
        <w:rPr>
          <w:rFonts w:ascii="Times New Roman;Times;Serif" w:hAnsi="Times New Roman;Times;Serif"/>
          <w:b/>
          <w:i w:val="false"/>
          <w:caps w:val="false"/>
          <w:smallCaps w:val="false"/>
          <w:sz w:val="20"/>
        </w:rPr>
        <w:t>Independent Accountant Review Not Completed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Company's independent registered public accounting firm has not completed its review of the accompanying interim financial statements in accordance with the standards of the Public Company Accounting Oversight Board.  Accordingly, these unaudited interim financial statements should be considered “not reviewed."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Company is filing this Quarterly Report on Form 10-Q prior to completion of the auditor’s review. Upon completion of the review, and if necessary, the Company intends to file an amendment to this Form 10-Q to include any required updates and remove this disclosure regarding the incomplete review.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bookmarkStart w:id="561" w:name="xdx_819_zjqaftLFIRnb"/>
      <w:bookmarkEnd w:id="561"/>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62" w:name="sol10qa008"/>
      <w:bookmarkEnd w:id="562"/>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Solésence, Inc. (“Solésence”, “Company”, “we”, “our”, or “us”) is a science- and technology-driven consumer health company which, along with its wholly owned subsidiary, Solésence, LLC (our “Solésence beauty science subsidiary”), is focused across beauty and health care markets</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Through working with selected customers (“clients,” “brand partners”), we offer skin health and beauty products infused with SPF protection and other key health claims as fully finished goods for sun care, skin care, color cosmetics, and scalp applications. While a few legacy products remain, these areas are no longer considered strategic, and all, along with medical diagnostics, fall into the advanced materials product category</w:t>
      </w:r>
      <w:r>
        <w:rPr>
          <w:rFonts w:ascii="Times New Roman;Times;Serif" w:hAnsi="Times New Roman;Times;Serif"/>
          <w:b w:val="false"/>
          <w:i w:val="false"/>
          <w:caps w:val="false"/>
          <w:smallCaps w:val="false"/>
          <w:sz w:val="20"/>
          <w:shd w:fill="FFFFFF" w:val="clear"/>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was $15,332 for the three months ended June 30, 2026, compared to $20,359 for the same period in 2025. Total revenue was $28,290 for the six months ended June 30, 2026, compared to $34,984 for the same period in 2025. Much of our revenue was from our three largest customers for the three- and six-month periods ended June 30, 2026 and 2025, respectively. This reflects sales to our largest customers for our consumer products and sales of APIs to our largest customer in personal care ingredients. This is the revenue breakdown, as a percentage of total revenue, from the customers referenced above during the three- and six-month periods ended June 30, 2026 and 2025, respectively:</w:t>
      </w:r>
    </w:p>
    <w:p>
      <w:pPr>
        <w:pStyle w:val="TextBody"/>
        <w:bidi w:val="0"/>
        <w:spacing w:before="0" w:after="0"/>
        <w:ind w:left="0" w:right="0" w:firstLine="720"/>
        <w:jc w:val="both"/>
        <w:rPr>
          <w:caps w:val="false"/>
          <w:smallCaps w:val="false"/>
        </w:rPr>
      </w:pPr>
      <w:r>
        <w:rPr>
          <w:caps w:val="false"/>
          <w:smallCaps w:val="false"/>
        </w:rPr>
        <w:t> </w:t>
      </w:r>
    </w:p>
    <w:tbl>
      <w:tblPr>
        <w:tblW w:w="7029" w:type="dxa"/>
        <w:jc w:val="left"/>
        <w:tblInd w:w="0" w:type="dxa"/>
        <w:tblLayout w:type="fixed"/>
        <w:tblCellMar>
          <w:top w:w="0" w:type="dxa"/>
          <w:left w:w="0" w:type="dxa"/>
          <w:bottom w:w="0" w:type="dxa"/>
          <w:right w:w="0" w:type="dxa"/>
        </w:tblCellMar>
      </w:tblPr>
      <w:tblGrid>
        <w:gridCol w:w="1010"/>
        <w:gridCol w:w="60"/>
        <w:gridCol w:w="60"/>
        <w:gridCol w:w="2090"/>
        <w:gridCol w:w="60"/>
        <w:gridCol w:w="129"/>
        <w:gridCol w:w="494"/>
        <w:gridCol w:w="398"/>
        <w:gridCol w:w="129"/>
        <w:gridCol w:w="129"/>
        <w:gridCol w:w="494"/>
        <w:gridCol w:w="185"/>
        <w:gridCol w:w="60"/>
        <w:gridCol w:w="111"/>
        <w:gridCol w:w="427"/>
        <w:gridCol w:w="344"/>
        <w:gridCol w:w="111"/>
        <w:gridCol w:w="111"/>
        <w:gridCol w:w="427"/>
        <w:gridCol w:w="200"/>
      </w:tblGrid>
      <w:tr>
        <w:trPr/>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 xml:space="preserve">Three months ended </w:t>
            </w:r>
            <w:r>
              <w:rPr>
                <w:rFonts w:ascii="Times New Roman;Times;Serif" w:hAnsi="Times New Roman;Times;Serif"/>
                <w:sz w:val="20"/>
              </w:rPr>
              <w:br/>
            </w:r>
            <w:r>
              <w:rPr>
                <w:rFonts w:ascii="Times New Roman;Times;Serif" w:hAnsi="Times New Roman;Times;Serif"/>
                <w:b/>
                <w:sz w:val="20"/>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 xml:space="preserve">Six months ended </w:t>
            </w:r>
            <w:r>
              <w:rPr>
                <w:rFonts w:ascii="Times New Roman;Times;Serif" w:hAnsi="Times New Roman;Times;Serif"/>
                <w:sz w:val="20"/>
              </w:rPr>
              <w:br/>
            </w:r>
            <w:r>
              <w:rPr>
                <w:rFonts w:ascii="Times New Roman;Times;Serif" w:hAnsi="Times New Roman;Times;Serif"/>
                <w:b/>
                <w:sz w:val="20"/>
              </w:rPr>
              <w:t>June 30,</w:t>
            </w:r>
          </w:p>
        </w:tc>
        <w:tc>
          <w:tcPr>
            <w:tcW w:w="200"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Customer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180"/>
              <w:jc w:val="right"/>
              <w:rPr/>
            </w:pPr>
            <w:r>
              <w:rPr/>
              <w:t> </w:t>
            </w:r>
          </w:p>
        </w:tc>
        <w:tc>
          <w:tcPr>
            <w:tcW w:w="20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Product Category</w:t>
            </w:r>
          </w:p>
        </w:tc>
        <w:tc>
          <w:tcPr>
            <w:tcW w:w="60" w:type="dxa"/>
            <w:tcBorders/>
            <w:vAlign w:val="center"/>
          </w:tcPr>
          <w:p>
            <w:pPr>
              <w:pStyle w:val="TableContents"/>
              <w:bidi w:val="0"/>
              <w:spacing w:before="0" w:after="283"/>
              <w:jc w:val="left"/>
              <w:rPr/>
            </w:pPr>
            <w:r>
              <w:rPr/>
              <w:t> </w:t>
            </w:r>
          </w:p>
        </w:tc>
        <w:tc>
          <w:tcPr>
            <w:tcW w:w="6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398"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right"/>
              <w:rPr/>
            </w:pPr>
            <w:r>
              <w:rPr/>
              <w:t> </w:t>
            </w:r>
          </w:p>
        </w:tc>
        <w:tc>
          <w:tcPr>
            <w:tcW w:w="6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5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344"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5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0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180"/>
              <w:jc w:val="left"/>
              <w:rPr/>
            </w:pPr>
            <w:r>
              <w:rPr/>
              <w:t> </w:t>
            </w:r>
          </w:p>
        </w:tc>
        <w:tc>
          <w:tcPr>
            <w:tcW w:w="2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Consumer Products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c>
          <w:tcPr>
            <w:tcW w:w="3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c>
          <w:tcPr>
            <w:tcW w:w="3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180"/>
              <w:jc w:val="left"/>
              <w:rPr/>
            </w:pPr>
            <w:r>
              <w:rPr/>
              <w:t> </w:t>
            </w:r>
          </w:p>
        </w:tc>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Consumer Products</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49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3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49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180"/>
              <w:jc w:val="left"/>
              <w:rPr/>
            </w:pPr>
            <w:r>
              <w:rPr/>
              <w:t> </w:t>
            </w:r>
          </w:p>
        </w:tc>
        <w:tc>
          <w:tcPr>
            <w:tcW w:w="2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Personal Care Ingredients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3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3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180"/>
              <w:jc w:val="left"/>
              <w:rPr/>
            </w:pPr>
            <w:r>
              <w:rPr/>
              <w:t> </w:t>
            </w:r>
          </w:p>
        </w:tc>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vAlign w:val="center"/>
          </w:tcPr>
          <w:p>
            <w:pPr>
              <w:pStyle w:val="TableContents"/>
              <w:bidi w:val="0"/>
              <w:spacing w:before="0" w:after="283"/>
              <w:jc w:val="left"/>
              <w:rPr/>
            </w:pPr>
            <w:r>
              <w:rPr/>
              <w:t> </w:t>
            </w:r>
          </w:p>
        </w:tc>
        <w:tc>
          <w:tcPr>
            <w:tcW w:w="129"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pPr>
            <w:r>
              <w:rPr/>
              <w:t> </w:t>
            </w:r>
          </w:p>
        </w:tc>
        <w:tc>
          <w:tcPr>
            <w:tcW w:w="494"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c>
          <w:tcPr>
            <w:tcW w:w="3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9" w:type="dxa"/>
            <w:tcBorders/>
            <w:vAlign w:val="center"/>
          </w:tcPr>
          <w:p>
            <w:pPr>
              <w:pStyle w:val="TableContents"/>
              <w:bidi w:val="0"/>
              <w:spacing w:before="0" w:after="283"/>
              <w:jc w:val="left"/>
              <w:rPr/>
            </w:pPr>
            <w:r>
              <w:rPr/>
              <w:t> </w:t>
            </w:r>
          </w:p>
        </w:tc>
        <w:tc>
          <w:tcPr>
            <w:tcW w:w="129"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pPr>
            <w:r>
              <w:rPr/>
              <w:t> </w:t>
            </w:r>
          </w:p>
        </w:tc>
        <w:tc>
          <w:tcPr>
            <w:tcW w:w="494"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1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pPr>
            <w:r>
              <w:rPr/>
              <w:t> </w:t>
            </w:r>
          </w:p>
        </w:tc>
        <w:tc>
          <w:tcPr>
            <w:tcW w:w="427"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 w:type="dxa"/>
            <w:tcBorders/>
            <w:vAlign w:val="center"/>
          </w:tcPr>
          <w:p>
            <w:pPr>
              <w:pStyle w:val="TableContents"/>
              <w:bidi w:val="0"/>
              <w:spacing w:before="0" w:after="283"/>
              <w:jc w:val="left"/>
              <w:rPr/>
            </w:pPr>
            <w:r>
              <w:rPr/>
              <w:t> </w:t>
            </w:r>
          </w:p>
        </w:tc>
        <w:tc>
          <w:tcPr>
            <w:tcW w:w="11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pPr>
            <w:r>
              <w:rPr/>
              <w:t> </w:t>
            </w:r>
          </w:p>
        </w:tc>
        <w:tc>
          <w:tcPr>
            <w:tcW w:w="427"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 the primary component of our total revenue, was $15,286 for the three months ended June 30, 2026, compared to $20,261 during the same period of 2025, and was $28,205 for the six months ended June 30, 2026, compared to $34,836 during the same period of 2025. The decrease was due to a new customer launch and supply to their distribution channels, resulting in higher sales in 2025 when compared to 2026.</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 was $46,000 and $85,000 for the three- and six-month periods ended June 30, 2026, compared to $98,000 and $148,000 for the same periods in 2025, respectively. Other revenue comprises primarily laboratory testing fees and developmental or licensing fees. The decrease was due to fewer tests being billed in 2026 compared to 2025.</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generally includes costs associated with commercial production and customer development arrangements. Cost of revenue was $10,548 for the three months ended June 30, 2026, compared to $13,916 for the same period in 2025, and was $20,400 for the six months ended June 30, 2026, compared to $24,895 for the same period in 2025. The decrease was primarily due to lower sales in 2026 compared to 2025 and improved production efficiency in 2026 compared to 2025.</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Operating efficiency, including the implementation of lean management practices, is a key area of focus for the company. Our company's growth in both complexity and scale since 2023 has required increases in our fixed manufacturing costs to ensure continued compliance with the requirements of manufacturing and distributing FDA-regulated products in an increasingly consumer-centric industry. These requirements, when combined with increases in scale and the number of customers, increase the variety and number of sku’s in our inventory. Improving overall equipment effectiveness and throughput through lean management will help the company maintain a competitive cost position and drive improvements in our operating margins as a percentage of total revenue. Selected automation will also enable the company to gain additional margin leverage as our business volume grows.</w:t>
      </w:r>
    </w:p>
    <w:p>
      <w:pPr>
        <w:pStyle w:val="TextBody"/>
        <w:bidi w:val="0"/>
        <w:ind w:left="0" w:right="0" w:firstLine="720"/>
        <w:jc w:val="both"/>
        <w:rPr>
          <w:caps w:val="false"/>
          <w:smallCaps w:val="false"/>
          <w:shd w:fill="FFFFFF" w:val="clear"/>
        </w:rPr>
      </w:pPr>
      <w:r>
        <w:rPr>
          <w:caps w:val="false"/>
          <w:smallCaps w:val="false"/>
          <w:shd w:fill="FFFFFF" w:val="clea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which includes all expenses relating to the technology and advanced engineering groups, primarily consists of costs associated with the development of new technology platforms that are core to the company’s market competitiveness, along with the development of finished product formulations for skin care, color cosmetics, sun care, and scalp applications. Our patented technologies also create a competitive advantage for our customers, allowing them to differentiate their business in an increasingly competitive market and gain additional market share. Our technology position also contributes to improved customer retention and a stronger long-term supply position at favorable pricing for the company.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was $947 for the three months ended June 30, 2026, compared to $955 for the same period in 2025. For the six months ended June 30, 2026 research and development expense was $1,990, compared to $1,973 for the same period in 2025. Research and development costs remained flat from year to year.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 was $3,680 for the three months ended June 30, 2026, compared to $3,012 for the same period in 2025. For the six months ended June 30, 2026, selling, general and administrative expense was $6,479, compared to $5,120 for the same period in 2025. The increase was due to higher professional service costs amounts in connection with the Refy Settlement Agreement (as described below) recorded in June.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Company-wide operations, we believe inflation has not had a material effect on our operations or financial position for 2026, although we have seen increases in our costs. We expect supplier price increases and wage and benefit inflation, both of which represent a significant component of our costs of operations, may have a material effect on our operations and financial position in 2026 and beyond. We will apply our best efforts to pass through cost increases to our customers. If we are unable to pass through any increases due to contractual limitations or conditions in our markets specifically, this could reduce margins and net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Liquidity and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proceeds and use of cash for the six months ended June 30, 2026 and 2025, and year ended December 31, 2025 were: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10"/>
        <w:gridCol w:w="60"/>
        <w:gridCol w:w="344"/>
        <w:gridCol w:w="1376"/>
        <w:gridCol w:w="95"/>
        <w:gridCol w:w="60"/>
        <w:gridCol w:w="293"/>
        <w:gridCol w:w="1430"/>
        <w:gridCol w:w="95"/>
        <w:gridCol w:w="60"/>
        <w:gridCol w:w="318"/>
        <w:gridCol w:w="1550"/>
        <w:gridCol w:w="114"/>
      </w:tblGrid>
      <w:tr>
        <w:trPr/>
        <w:tc>
          <w:tcPr>
            <w:tcW w:w="44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 2025</w:t>
            </w:r>
          </w:p>
        </w:tc>
        <w:tc>
          <w:tcPr>
            <w:tcW w:w="114" w:type="dxa"/>
            <w:tcBorders/>
            <w:vAlign w:val="center"/>
          </w:tcPr>
          <w:p>
            <w:pPr>
              <w:pStyle w:val="TableContents"/>
              <w:bidi w:val="0"/>
              <w:spacing w:before="0" w:after="283"/>
              <w:jc w:val="left"/>
              <w:rPr/>
            </w:pPr>
            <w:r>
              <w:rPr/>
              <w:t> </w:t>
            </w:r>
          </w:p>
        </w:tc>
      </w:tr>
      <w:tr>
        <w:trPr/>
        <w:tc>
          <w:tcPr>
            <w:tcW w:w="4410" w:type="dxa"/>
            <w:tcBorders/>
            <w:shd w:fill="CCEEFF" w:val="clear"/>
            <w:vAlign w:val="center"/>
          </w:tcPr>
          <w:p>
            <w:pPr>
              <w:pStyle w:val="TableContents"/>
              <w:bidi w:val="0"/>
              <w:spacing w:before="0" w:after="283"/>
              <w:jc w:val="both"/>
              <w:rPr/>
            </w:pPr>
            <w:r>
              <w:rPr/>
              <w:t>Total cash</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w:t>
            </w:r>
          </w:p>
        </w:tc>
        <w:tc>
          <w:tcPr>
            <w:tcW w:w="1376" w:type="dxa"/>
            <w:tcBorders/>
            <w:shd w:fill="CCEEFF" w:val="clear"/>
            <w:vAlign w:val="center"/>
          </w:tcPr>
          <w:p>
            <w:pPr>
              <w:pStyle w:val="TableContents"/>
              <w:bidi w:val="0"/>
              <w:spacing w:before="0" w:after="283"/>
              <w:jc w:val="right"/>
              <w:rPr/>
            </w:pPr>
            <w:r>
              <w:rPr/>
              <w:t>1,046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4,108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w:t>
            </w:r>
          </w:p>
        </w:tc>
        <w:tc>
          <w:tcPr>
            <w:tcW w:w="1550" w:type="dxa"/>
            <w:tcBorders/>
            <w:shd w:fill="CCEEFF" w:val="clear"/>
            <w:vAlign w:val="center"/>
          </w:tcPr>
          <w:p>
            <w:pPr>
              <w:pStyle w:val="TableContents"/>
              <w:bidi w:val="0"/>
              <w:spacing w:before="0" w:after="283"/>
              <w:jc w:val="right"/>
              <w:rPr/>
            </w:pPr>
            <w:r>
              <w:rPr/>
              <w:t>1,288</w:t>
            </w:r>
          </w:p>
        </w:tc>
        <w:tc>
          <w:tcPr>
            <w:tcW w:w="114" w:type="dxa"/>
            <w:tcBorders/>
            <w:shd w:fill="CCEEFF" w:val="clear"/>
            <w:vAlign w:val="center"/>
          </w:tcPr>
          <w:p>
            <w:pPr>
              <w:pStyle w:val="TableContents"/>
              <w:bidi w:val="0"/>
              <w:spacing w:before="0" w:after="283"/>
              <w:jc w:val="left"/>
              <w:rPr/>
            </w:pPr>
            <w:r>
              <w:rPr/>
              <w:t> </w:t>
            </w:r>
          </w:p>
        </w:tc>
      </w:tr>
      <w:tr>
        <w:trPr/>
        <w:tc>
          <w:tcPr>
            <w:tcW w:w="4410" w:type="dxa"/>
            <w:tcBorders/>
            <w:shd w:fill="FFFFFF" w:val="clear"/>
            <w:vAlign w:val="center"/>
          </w:tcPr>
          <w:p>
            <w:pPr>
              <w:pStyle w:val="TableContents"/>
              <w:bidi w:val="0"/>
              <w:spacing w:before="0" w:after="283"/>
              <w:jc w:val="both"/>
              <w:rPr/>
            </w:pPr>
            <w:r>
              <w:rPr/>
              <w:t>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pPr>
            <w:r>
              <w:rPr/>
              <w:t>1,708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(7,875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pPr>
            <w:r>
              <w:rPr/>
              <w:t>(8,567</w:t>
            </w:r>
          </w:p>
        </w:tc>
        <w:tc>
          <w:tcPr>
            <w:tcW w:w="114" w:type="dxa"/>
            <w:tcBorders/>
            <w:shd w:fill="FFFFFF" w:val="clear"/>
            <w:vAlign w:val="center"/>
          </w:tcPr>
          <w:p>
            <w:pPr>
              <w:pStyle w:val="TableContents"/>
              <w:bidi w:val="0"/>
              <w:spacing w:before="0" w:after="283"/>
              <w:jc w:val="left"/>
              <w:rPr/>
            </w:pPr>
            <w:r>
              <w:rPr/>
              <w:t>)</w:t>
            </w:r>
          </w:p>
        </w:tc>
      </w:tr>
      <w:tr>
        <w:trPr/>
        <w:tc>
          <w:tcPr>
            <w:tcW w:w="4410" w:type="dxa"/>
            <w:tcBorders/>
            <w:shd w:fill="CCEEFF" w:val="clear"/>
            <w:vAlign w:val="center"/>
          </w:tcPr>
          <w:p>
            <w:pPr>
              <w:pStyle w:val="TableContents"/>
              <w:bidi w:val="0"/>
              <w:spacing w:before="0" w:after="283"/>
              <w:jc w:val="both"/>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(997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(1,275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pPr>
            <w:r>
              <w:rPr/>
              <w:t>(2,143</w:t>
            </w:r>
          </w:p>
        </w:tc>
        <w:tc>
          <w:tcPr>
            <w:tcW w:w="114" w:type="dxa"/>
            <w:tcBorders/>
            <w:shd w:fill="CCEEFF" w:val="clear"/>
            <w:vAlign w:val="center"/>
          </w:tcPr>
          <w:p>
            <w:pPr>
              <w:pStyle w:val="TableContents"/>
              <w:bidi w:val="0"/>
              <w:spacing w:before="0" w:after="283"/>
              <w:jc w:val="left"/>
              <w:rPr/>
            </w:pPr>
            <w:r>
              <w:rPr/>
              <w:t>)</w:t>
            </w:r>
          </w:p>
        </w:tc>
      </w:tr>
      <w:tr>
        <w:trPr/>
        <w:tc>
          <w:tcPr>
            <w:tcW w:w="4410" w:type="dxa"/>
            <w:tcBorders/>
            <w:shd w:fill="FFFFFF" w:val="clear"/>
            <w:vAlign w:val="center"/>
          </w:tcPr>
          <w:p>
            <w:pPr>
              <w:pStyle w:val="TableContents"/>
              <w:bidi w:val="0"/>
              <w:spacing w:before="0" w:after="283"/>
              <w:jc w:val="both"/>
              <w:rPr/>
            </w:pPr>
            <w:r>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pPr>
            <w:r>
              <w:rPr/>
              <w:t>(953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11,849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pPr>
            <w:r>
              <w:rPr/>
              <w:t>10,589</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cash provided by operating activities during the six months ended June 30, 2026 was primarily due to profitable operations and additional prepayments for future orders.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cash used in investing activities during the six months ended June 30, 2026 was primarily due to investments in new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cash used in financing activities during the six months ended June 30, 2026 was primarily due to reducing the outstanding related part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actual future capital requirements in 2026 and beyond will depend on many factors, including customer acceptance of our current and potential future consumer products, APIs sold as ingredients in the skin health markets, medical diagnostics ingredients, and other engineered materials, applications, and products, continued progress in research and development activities and product testing programs, the magnitude of these activities and programs, and the costs necessary to increase and expand our manufacturing capabilities and to market and sell these products and ingredients. Other important issues that will drive future capital requirements will be the development of new markets and new customers as well as the potential for significant unplanned growth with existing customers. Depending on the success of certain projects, and conditions within the markets supplying labor and materials for capital equipment, we expect that capital spending relating to currently known capital needs for 2026 will be between $0.5 million and $1.5 million, to be funded by profit from operations, our existing loans and lines of credit, and possible new debt financing. If those projects are delayed or ultimately prove unsuccessful, or if we fail to be able to support the additional cost of funding them in the near term, we expect our capital expenditures may fall below the lower end of the range. Similarly, substantial success in business development projects may cause the actual 2026 capital investment to exceed the top of this range.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had federal net operating loss carryforwards for tax purposes of approximately $36.9 million on December 31, 2025. Because the Company may experience “ownership changes” within the meaning of the U.S. Internal Revenue Code (“IRC”) in connection with any future equity offerings, future utilization of this carryforward may be subject to certain limitations as defined by the IRC. If not utilized, $30.7 million of this loss carryforward will expire between 2026 and 2038. Given changes to the IRC, net operating loss carryforwards generated after January 1, 2018 do not expire, therefore, $6.2 million in net operating losses generated since January 1, 2018 do not expire. We had Illinois net loss deduction carryforwards for tax purposes of approximately $20 million on December 31, 2025. Due to the provisions of Illinois Public Act 102-0669 signed November 16, 2021, Illinois net loss deductions expire between 2029 and 2039.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a result of the annual limitation and uncertainty as to the amount of future taxable income that will be earned prior to the expiration of the carryforward, we have concluded that it is likely that some portion of this carryforward will expire before ultimately becoming available to reduce income tax liabilities.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created, and are not party to, any special-purpose or off-balance sheet entities for the purposes of raising capital, incurring debt or operating our business. We do not have any off-balance sheet arrangements or relationships with entities that are not consolidated into our financial statements that are reasonably likely to materially affect our liquidity or the availability of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Safe Harbor Provision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want to provide investors with more meaningful and useful information. As a result, this Quarterly Report on Form 10-Q (the “Form 10-Q”) contains and incorporates by reference certain “forward-looking statements”, as defined in Section 21E of the Securities Exchange Act of 1934, as amended (the “Exchange Act”). These statements reflect our current expectations of the future results of our operations, performance, and achievements. Forward-looking statements are covered under the safe harbor provisions of the Private Securities Litigation Reform Act of 1995. We have tried, wherever possible, to identify these statements by using words such as “anticipates”, “believes”, “estimates”, “expects”, “plans”, “intends” and similar expressions. These statements reflect management’s current beliefs and are based on information now available to it. Accordingly, these statements are subject to certain risks, uncertainties and contingencies that could cause our actual results, performance, or achievements in 2026 and beyond to differ materially from those expressed in, or implied by, such statements. These risks, uncertainties and factors include, without limitation: our ability to be consistently profitable despite the losses we have incurred since our incorporation; a decision by a customer to cancel a purchase order or supply agreement in light of our dependence on a limited number of key customers; the terms of our supply agreements with BASF which could trigger a requirement to sell equipment to that customer; our potential inability to obtain working capital when needed on acceptable terms or at all; our ability to obtain materials at costs we can pass through to our customers, including Rare Earth elements, specifically cerium oxide, as well as high purity zinc; uncertain demand for, and acceptance of, our Solésence products, and our advanced materials; our manufacturing capacity and product mix flexibility in light of customer demand; our limited marketing experience, including with our suite of Solésence products; changes in development and distribution relationships; the impact of competitive products and technologies; our dependence on patents and protection of proprietary information; our ability to maintain an appropriate electronic trading venue for our securities; the impact of any potential new governmental regulations, especially any new governmental regulations focusing on the processing, handling, storage or sale of nanomaterials, that could be difficult to respond to or costly to comply with; business interruptions due to unexpected events or public health crises, including viral pandemics such as COVID-19; and the resolution of litigation or other legal proceedings in which we may become involved. In addition, our forward-looking statements could be affected by general industry and market conditions and growth rates. Readers of this Quarterly Report on Form 10-Q should not place undue reliance on any forward-looking statements. Except as required by federal securities laws, we undertake no obligation to update or revise these forward-looking statements to reflect new events or uncertainties.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3" w:name="sol10qa009"/>
      <w:bookmarkEnd w:id="563"/>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for a smaller reporting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4" w:name="sol10qa010"/>
      <w:bookmarkEnd w:id="564"/>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and Chief Financial Officer, we evaluated the effectiveness of the design and operation of our disclosure controls and procedures (as defined in Rule 13a-15(e) and Rule 15d-15(e) under the Exchange Act) as of June 30, 2026. Based upon that evaluation, our Chief Executive Officer and Chief Financial Officer concluded that our disclosure controls and procedures were not effective as of June 30, 2026 due to a material weakness in internal control over financial reporting related to the accounting for inventory costs, including the accumulation, allocation and review of labor and manufacturing overhead costs capitalized into inventory.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identified deficiencies in controls over the determination and allocation of labor and manufacturing overhead costs included in inventory. As a result of these deficiencies, management determined that errors existed in previously issued financial statements related to inventory and cost of sales and concluded that those financial statements should no longer be relied upon. Management is in the process of evaluating and preparing the amendments and restatements of its previously issued financial statements that will be required to correct these errors.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material weakness described above, management performed additional analyses and other procedures and believes that the condensed consolidated financial statements included in this Quarterly Report on Form 10-Q fairly present, in all material respects, the Company's financial position, results of operations and cash flows for the periods presented.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begun implementing remediation measures designed to address the material weakness, including reassessing inventory costing methodologies, evaluating labor and manufacturing overhead allocation practices and assumptions, enhancing management review controls, strengthening documentation supporting inventory valuation processes and increasing oversight by personnel with appropriate accounting and cost accounting expertise. A material weakness will not be considered remediated until the applicable controls have operated for a sufficient period of time and management concludes, through testing, that such controls are operating effectively.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2026, management identified the material weakness described above and initiated remediation efforts designed to address the underlying control deficiencies. These efforts include evaluating and refining labor and manufacturing overhead cost pools and allocation methodologies, enhancing management review controls over inventory accounting and valuation, and strengthening supporting documentation and oversight of inventory costing activities. The Company expects to continue implementing these remediation activities during the remainder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65" w:name="sol10qa011"/>
      <w:bookmarkEnd w:id="565"/>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6" w:name="sol10qa012"/>
      <w:bookmarkEnd w:id="566"/>
      <w:r>
        <w:rPr>
          <w:rFonts w:ascii="Times New Roman;Times;Serif" w:hAnsi="Times New Roman;Times;Serif"/>
          <w:b/>
          <w:i w:val="false"/>
          <w:caps w:val="false"/>
          <w:smallCaps w:val="false"/>
          <w:sz w:val="20"/>
        </w:rPr>
        <w:t xml:space="preserve">Item 1.  Legal Proceedings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July 6, 2026, Solésence, LLC entered into a Settlement Agreement and Release (the “Refy Settlement Agreement”) with Refy Beauty Ltd (“Refy”). Pursuant to the Refy Settlement Agreement, Solésence, LLC and Refy agreed to settle and compromise disputes relating to certain consumer care products previously sold by Solésence, LLC to Refy. Under the Refy Settlement Agreement, Solésence, LLC agreed to pay Refy the British Pound Sterling equivalent of $938,000 in twelve equal installments of $78,166.66 with the first installment due on August 5, 2026 and each subsequent payment due 30 days after the preceding payment date. The parties further agreed to a six month exclusivity period for the development of a new SPF product and potential negotiation of a new supply agreement for such SPF product. If the parties enter into such a supply agreement, the final six scheduled installment payments would instead be credited toward the purchase of the SPF product under the supply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terms and conditions of the Refy Settlement Agreement does not purport to be complete and is qualified in its entirety by the full text of the Refy Settlement Agreement, which was filed, with confidential portions redacted, as an exhibit to our Current Report on Form 8-K filed on July 10,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880" w:right="2880" w:hanging="0"/>
        <w:jc w:val="both"/>
        <w:rPr>
          <w:rFonts w:ascii="Times New Roman;Times;Serif" w:hAnsi="Times New Roman;Times;Serif"/>
          <w:b/>
          <w:i w:val="false"/>
          <w:caps w:val="false"/>
          <w:smallCaps w:val="false"/>
          <w:sz w:val="20"/>
        </w:rPr>
      </w:pPr>
      <w:bookmarkStart w:id="567" w:name="sol10qa013"/>
      <w:bookmarkEnd w:id="567"/>
      <w:r>
        <w:rPr>
          <w:rFonts w:ascii="Times New Roman;Times;Serif" w:hAnsi="Times New Roman;Times;Serif"/>
          <w:b/>
          <w:i w:val="false"/>
          <w:caps w:val="false"/>
          <w:smallCaps w:val="false"/>
          <w:sz w:val="20"/>
        </w:rPr>
        <w:t>Item 1A. Risk Factors</w:t>
      </w:r>
    </w:p>
    <w:p>
      <w:pPr>
        <w:pStyle w:val="TextBody"/>
        <w:bidi w:val="0"/>
        <w:spacing w:before="0" w:after="0"/>
        <w:ind w:left="2880" w:right="288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for a smaller reporting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8" w:name="sol10qa014"/>
      <w:bookmarkEnd w:id="568"/>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9" w:name="sol10qa015"/>
      <w:bookmarkEnd w:id="569"/>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0" w:name="sol10qa016"/>
      <w:bookmarkEnd w:id="570"/>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1" w:name="sol10qa017"/>
      <w:bookmarkEnd w:id="571"/>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2" w:name="sol10qa018"/>
      <w:bookmarkEnd w:id="572"/>
      <w:r>
        <w:rPr>
          <w:rFonts w:ascii="Times New Roman;Times;Serif" w:hAnsi="Times New Roman;Times;Serif"/>
          <w:b/>
          <w:i w:val="false"/>
          <w:caps w:val="false"/>
          <w:smallCaps w:val="false"/>
          <w:sz w:val="20"/>
        </w:rPr>
        <w:t xml:space="preserve">Item 6. Exhibits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744"/>
        <w:gridCol w:w="9386"/>
      </w:tblGrid>
      <w:tr>
        <w:trPr/>
        <w:tc>
          <w:tcPr>
            <w:tcW w:w="75" w:type="dxa"/>
            <w:tcBorders/>
            <w:vAlign w:val="center"/>
          </w:tcPr>
          <w:p>
            <w:pPr>
              <w:pStyle w:val="TableContents"/>
              <w:bidi w:val="0"/>
              <w:spacing w:before="0" w:after="283"/>
              <w:jc w:val="both"/>
              <w:rPr/>
            </w:pPr>
            <w:r>
              <w:rPr/>
              <w:t> </w:t>
            </w:r>
          </w:p>
        </w:tc>
        <w:tc>
          <w:tcPr>
            <w:tcW w:w="744" w:type="dxa"/>
            <w:tcBorders/>
            <w:vAlign w:val="center"/>
          </w:tcPr>
          <w:p>
            <w:pPr>
              <w:pStyle w:val="TableContents"/>
              <w:bidi w:val="0"/>
              <w:spacing w:before="0" w:after="283"/>
              <w:jc w:val="both"/>
              <w:rPr/>
            </w:pPr>
            <w:hyperlink w:anchor="ex31-1.htm">
              <w:r>
                <w:rPr>
                  <w:rStyle w:val="InternetLink"/>
                  <w:rFonts w:ascii="Times New Roman;Times;Serif" w:hAnsi="Times New Roman;Times;Serif"/>
                  <w:sz w:val="20"/>
                </w:rPr>
                <w:t>Exhibit 31.1</w:t>
              </w:r>
            </w:hyperlink>
          </w:p>
        </w:tc>
        <w:tc>
          <w:tcPr>
            <w:tcW w:w="9386" w:type="dxa"/>
            <w:tcBorders/>
            <w:vAlign w:val="center"/>
          </w:tcPr>
          <w:p>
            <w:pPr>
              <w:pStyle w:val="TableContents"/>
              <w:bidi w:val="0"/>
              <w:spacing w:before="0" w:after="283"/>
              <w:jc w:val="both"/>
              <w:rPr/>
            </w:pPr>
            <w:hyperlink w:anchor="ex31-1.htm">
              <w:r>
                <w:rPr>
                  <w:rStyle w:val="InternetLink"/>
                  <w:rFonts w:ascii="Times New Roman;Times;Serif" w:hAnsi="Times New Roman;Times;Serif"/>
                  <w:sz w:val="20"/>
                </w:rPr>
                <w:t>Certification of Chief Executive Officer pursuant to Rules 13a-14(a) and 15d-14(a) under the Exchange Act.</w:t>
              </w:r>
            </w:hyperlink>
          </w:p>
        </w:tc>
      </w:tr>
      <w:tr>
        <w:trPr/>
        <w:tc>
          <w:tcPr>
            <w:tcW w:w="75" w:type="dxa"/>
            <w:tcBorders/>
            <w:vAlign w:val="center"/>
          </w:tcPr>
          <w:p>
            <w:pPr>
              <w:pStyle w:val="TableContents"/>
              <w:bidi w:val="0"/>
              <w:spacing w:before="0" w:after="283"/>
              <w:jc w:val="both"/>
              <w:rPr/>
            </w:pPr>
            <w:r>
              <w:rPr/>
              <w:t> </w:t>
            </w:r>
          </w:p>
        </w:tc>
        <w:tc>
          <w:tcPr>
            <w:tcW w:w="744" w:type="dxa"/>
            <w:tcBorders/>
            <w:vAlign w:val="center"/>
          </w:tcPr>
          <w:p>
            <w:pPr>
              <w:pStyle w:val="TableContents"/>
              <w:bidi w:val="0"/>
              <w:spacing w:before="0" w:after="283"/>
              <w:jc w:val="both"/>
              <w:rPr/>
            </w:pPr>
            <w:r>
              <w:rPr/>
              <w:t> </w:t>
            </w:r>
          </w:p>
        </w:tc>
        <w:tc>
          <w:tcPr>
            <w:tcW w:w="93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44" w:type="dxa"/>
            <w:tcBorders/>
            <w:vAlign w:val="center"/>
          </w:tcPr>
          <w:p>
            <w:pPr>
              <w:pStyle w:val="TableContents"/>
              <w:bidi w:val="0"/>
              <w:spacing w:before="0" w:after="283"/>
              <w:jc w:val="both"/>
              <w:rPr/>
            </w:pPr>
            <w:hyperlink w:anchor="ex31-2.htm">
              <w:r>
                <w:rPr>
                  <w:rStyle w:val="InternetLink"/>
                  <w:rFonts w:ascii="Times New Roman;Times;Serif" w:hAnsi="Times New Roman;Times;Serif"/>
                  <w:sz w:val="20"/>
                </w:rPr>
                <w:t>Exhibit 31.2</w:t>
              </w:r>
            </w:hyperlink>
          </w:p>
        </w:tc>
        <w:tc>
          <w:tcPr>
            <w:tcW w:w="9386" w:type="dxa"/>
            <w:tcBorders/>
            <w:vAlign w:val="center"/>
          </w:tcPr>
          <w:p>
            <w:pPr>
              <w:pStyle w:val="TableContents"/>
              <w:bidi w:val="0"/>
              <w:spacing w:before="0" w:after="283"/>
              <w:jc w:val="both"/>
              <w:rPr/>
            </w:pPr>
            <w:hyperlink w:anchor="ex31-2.htm">
              <w:r>
                <w:rPr>
                  <w:rStyle w:val="InternetLink"/>
                  <w:rFonts w:ascii="Times New Roman;Times;Serif" w:hAnsi="Times New Roman;Times;Serif"/>
                  <w:sz w:val="20"/>
                </w:rPr>
                <w:t>Certification of Principal Financial Officer pursuant to Rules 13a-14(a) and 15d-14(a) under the Exchange Act.</w:t>
              </w:r>
            </w:hyperlink>
          </w:p>
        </w:tc>
      </w:tr>
      <w:tr>
        <w:trPr/>
        <w:tc>
          <w:tcPr>
            <w:tcW w:w="75" w:type="dxa"/>
            <w:tcBorders/>
            <w:vAlign w:val="center"/>
          </w:tcPr>
          <w:p>
            <w:pPr>
              <w:pStyle w:val="TableContents"/>
              <w:bidi w:val="0"/>
              <w:spacing w:before="0" w:after="283"/>
              <w:jc w:val="both"/>
              <w:rPr/>
            </w:pPr>
            <w:r>
              <w:rPr/>
              <w:t> </w:t>
            </w:r>
          </w:p>
        </w:tc>
        <w:tc>
          <w:tcPr>
            <w:tcW w:w="744" w:type="dxa"/>
            <w:tcBorders/>
            <w:vAlign w:val="center"/>
          </w:tcPr>
          <w:p>
            <w:pPr>
              <w:pStyle w:val="TableContents"/>
              <w:bidi w:val="0"/>
              <w:spacing w:before="0" w:after="283"/>
              <w:jc w:val="both"/>
              <w:rPr/>
            </w:pPr>
            <w:r>
              <w:rPr/>
              <w:t> </w:t>
            </w:r>
          </w:p>
        </w:tc>
        <w:tc>
          <w:tcPr>
            <w:tcW w:w="93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44" w:type="dxa"/>
            <w:tcBorders/>
            <w:vAlign w:val="center"/>
          </w:tcPr>
          <w:p>
            <w:pPr>
              <w:pStyle w:val="TableContents"/>
              <w:bidi w:val="0"/>
              <w:spacing w:before="0" w:after="283"/>
              <w:jc w:val="both"/>
              <w:rPr/>
            </w:pPr>
            <w:hyperlink w:anchor="ex32.htm">
              <w:r>
                <w:rPr>
                  <w:rStyle w:val="InternetLink"/>
                  <w:rFonts w:ascii="Times New Roman;Times;Serif" w:hAnsi="Times New Roman;Times;Serif"/>
                  <w:sz w:val="20"/>
                </w:rPr>
                <w:t>Exhibit 32</w:t>
              </w:r>
            </w:hyperlink>
          </w:p>
        </w:tc>
        <w:tc>
          <w:tcPr>
            <w:tcW w:w="9386" w:type="dxa"/>
            <w:tcBorders/>
            <w:vAlign w:val="center"/>
          </w:tcPr>
          <w:p>
            <w:pPr>
              <w:pStyle w:val="TableContents"/>
              <w:bidi w:val="0"/>
              <w:spacing w:before="0" w:after="0"/>
              <w:ind w:left="0" w:right="0" w:hanging="0"/>
              <w:jc w:val="both"/>
              <w:rPr/>
            </w:pPr>
            <w:hyperlink w:anchor="ex32.htm">
              <w:r>
                <w:rPr>
                  <w:rStyle w:val="InternetLink"/>
                  <w:rFonts w:ascii="Times New Roman;Times;Serif" w:hAnsi="Times New Roman;Times;Serif"/>
                  <w:b w:val="false"/>
                  <w:i w:val="false"/>
                  <w:caps w:val="false"/>
                  <w:smallCaps w:val="false"/>
                  <w:sz w:val="20"/>
                </w:rPr>
                <w:t>Certification of the Chief Executive Officer and Principal Financial Officer pursuant to 18 U.S.C. Section 1350. </w:t>
              </w:r>
            </w:hyperlink>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7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101</w:t>
            </w:r>
          </w:p>
        </w:tc>
        <w:tc>
          <w:tcPr>
            <w:tcW w:w="93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materials from Solésence, Inc.’s Quarterly Report on Form 10-Q for the quarter ended June 30, 2026, formatted in XBRL (Extensible Business Reporting Language): (1) the Balance Sheets, (2) the Statements of Operations, (3) the Statements of Shareholders Equity, (4) the Statements of Cash Flows, and (5) the Notes to Unaudited Consolidated Condensed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73" w:name="sol10qa019"/>
      <w:bookmarkEnd w:id="573"/>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340" w:type="dxa"/>
        <w:jc w:val="left"/>
        <w:tblInd w:w="0" w:type="dxa"/>
        <w:tblLayout w:type="fixed"/>
        <w:tblCellMar>
          <w:top w:w="0" w:type="dxa"/>
          <w:left w:w="0" w:type="dxa"/>
          <w:bottom w:w="0" w:type="dxa"/>
          <w:right w:w="0" w:type="dxa"/>
        </w:tblCellMar>
      </w:tblPr>
      <w:tblGrid>
        <w:gridCol w:w="1865"/>
        <w:gridCol w:w="60"/>
        <w:gridCol w:w="320"/>
        <w:gridCol w:w="3095"/>
      </w:tblGrid>
      <w:tr>
        <w:trPr/>
        <w:tc>
          <w:tcPr>
            <w:tcW w:w="1865" w:type="dxa"/>
            <w:tcBorders/>
            <w:vAlign w:val="center"/>
          </w:tcPr>
          <w:p>
            <w:pPr>
              <w:pStyle w:val="TableContents"/>
              <w:bidi w:val="0"/>
              <w:spacing w:before="0" w:after="283"/>
              <w:jc w:val="both"/>
              <w:rPr/>
            </w:pPr>
            <w:r>
              <w:rPr/>
              <w:t> </w:t>
            </w:r>
          </w:p>
        </w:tc>
        <w:tc>
          <w:tcPr>
            <w:tcW w:w="3475" w:type="dxa"/>
            <w:gridSpan w:val="3"/>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SOLÉSENCE, INC. </w:t>
            </w:r>
          </w:p>
        </w:tc>
      </w:tr>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3095"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19, 2026</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0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KEVIN CURETON</w:t>
            </w:r>
          </w:p>
        </w:tc>
      </w:tr>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3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Kevin Cureton</w:t>
            </w:r>
          </w:p>
        </w:tc>
      </w:tr>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3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3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283"/>
        <w:jc w:val="left"/>
        <w:rPr/>
      </w:pPr>
      <w:r>
        <w:rPr/>
        <w:t> </w:t>
      </w:r>
    </w:p>
    <w:tbl>
      <w:tblPr>
        <w:tblW w:w="4425" w:type="dxa"/>
        <w:jc w:val="left"/>
        <w:tblInd w:w="0" w:type="dxa"/>
        <w:tblLayout w:type="fixed"/>
        <w:tblCellMar>
          <w:top w:w="0" w:type="dxa"/>
          <w:left w:w="0" w:type="dxa"/>
          <w:bottom w:w="0" w:type="dxa"/>
          <w:right w:w="0" w:type="dxa"/>
        </w:tblCellMar>
      </w:tblPr>
      <w:tblGrid>
        <w:gridCol w:w="1865"/>
        <w:gridCol w:w="60"/>
        <w:gridCol w:w="320"/>
        <w:gridCol w:w="2180"/>
      </w:tblGrid>
      <w:tr>
        <w:trPr/>
        <w:tc>
          <w:tcPr>
            <w:tcW w:w="1865" w:type="dxa"/>
            <w:tcBorders/>
            <w:vAlign w:val="center"/>
          </w:tcPr>
          <w:p>
            <w:pPr>
              <w:pStyle w:val="TableContents"/>
              <w:bidi w:val="0"/>
              <w:spacing w:before="0" w:after="283"/>
              <w:jc w:val="both"/>
              <w:rPr/>
            </w:pPr>
            <w:r>
              <w:rPr/>
              <w:t> </w:t>
            </w:r>
          </w:p>
        </w:tc>
        <w:tc>
          <w:tcPr>
            <w:tcW w:w="2560" w:type="dxa"/>
            <w:gridSpan w:val="3"/>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SOLÉSENCE, INC. </w:t>
            </w:r>
          </w:p>
        </w:tc>
      </w:tr>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2180"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19, 2026</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18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LAURA RIFFNER</w:t>
            </w:r>
          </w:p>
        </w:tc>
      </w:tr>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Laura Riffner</w:t>
            </w:r>
          </w:p>
        </w:tc>
      </w:tr>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r>
        <w:rPr>
          <w:sz w:val="20"/>
          <w:bdr w:val="single" w:sz="8" w:space="1" w:color="000000"/>
        </w:rPr>
        <w:t>21</w:t>
      </w:r>
    </w:p>
    <w:p>
      <w:pPr>
        <w:pStyle w:val="TextBody"/>
        <w:bidi w:val="0"/>
        <w:ind w:left="0" w:right="0" w:hanging="0"/>
        <w:jc w:val="left"/>
        <w:rPr>
          <w:bdr w:val="single" w:sz="16" w:space="1" w:color="000000"/>
        </w:rPr>
      </w:pPr>
      <w:bookmarkStart w:id="574" w:name="ex31-1.htm"/>
      <w:bookmarkStart w:id="575" w:name="ksex311"/>
      <w:bookmarkEnd w:id="574"/>
      <w:bookmarkEnd w:id="575"/>
      <w:r>
        <w:rPr>
          <w:bdr w:val="single" w:sz="16" w:space="1" w:color="000000"/>
        </w:rPr>
        <w:t> </w:t>
      </w:r>
      <w:r>
        <w:br w:type="page"/>
      </w:r>
    </w:p>
    <w:p>
      <w:pPr>
        <w:pStyle w:val="TextBody"/>
        <w:bidi w:val="0"/>
        <w:spacing w:before="0" w:after="0"/>
        <w:ind w:left="0" w:right="0" w:hanging="0"/>
        <w:jc w:val="left"/>
        <w:rPr/>
      </w:pPr>
      <w:hyperlink w:anchor="slsn-10q_063026.htm">
        <w:r>
          <w:rPr>
            <w:rStyle w:val="InternetLink"/>
            <w:rFonts w:ascii="Times New Roman;Times;Serif" w:hAnsi="Times New Roman;Times;Serif"/>
            <w:b w:val="false"/>
            <w:i w:val="false"/>
            <w:caps w:val="false"/>
            <w:smallCaps w:val="false"/>
            <w:color w:val="000033"/>
            <w:sz w:val="20"/>
          </w:rPr>
          <w:t>Solésence, Inc. 10-Q</w:t>
        </w:r>
      </w:hyperlink>
    </w:p>
    <w:p>
      <w:pPr>
        <w:pStyle w:val="TextBody"/>
        <w:bidi w:val="0"/>
        <w:spacing w:before="0" w:after="0"/>
        <w:ind w:left="0" w:right="0" w:hanging="0"/>
        <w:jc w:val="right"/>
        <w:rPr>
          <w:rFonts w:ascii="Times New Roman;Times;Serif" w:hAnsi="Times New Roman;Times;Serif"/>
          <w:b/>
          <w:i w:val="false"/>
          <w:caps w:val="false"/>
          <w:smallCaps w:val="false"/>
          <w:color w:val="000033"/>
          <w:sz w:val="20"/>
        </w:rPr>
      </w:pPr>
      <w:r>
        <w:rPr>
          <w:rFonts w:ascii="Times New Roman;Times;Serif" w:hAnsi="Times New Roman;Times;Serif"/>
          <w:b/>
          <w:i w:val="false"/>
          <w:caps w:val="false"/>
          <w:smallCaps w:val="false"/>
          <w:color w:val="000033"/>
          <w:sz w:val="20"/>
        </w:rPr>
        <w:t>Exhibit 31.1</w:t>
      </w:r>
    </w:p>
    <w:p>
      <w:pPr>
        <w:pStyle w:val="TextBody"/>
        <w:bidi w:val="0"/>
        <w:spacing w:before="0" w:after="0"/>
        <w:ind w:left="0" w:right="0" w:hanging="0"/>
        <w:jc w:val="right"/>
        <w:rPr>
          <w:caps w:val="false"/>
          <w:smallCaps w:val="false"/>
          <w:color w:val="000033"/>
        </w:rPr>
      </w:pPr>
      <w:r>
        <w:rPr>
          <w:caps w:val="false"/>
          <w:smallCaps w:val="false"/>
          <w:color w:val="000033"/>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33"/>
          <w:sz w:val="20"/>
        </w:rPr>
        <w:t>Certification of the Chief Executive Officer</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color w:val="000033"/>
          <w:sz w:val="20"/>
        </w:rPr>
        <w:t>Pursuant to</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Rules 13a-14(a) and 15d-14(a) under the Exchange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33"/>
          <w:sz w:val="20"/>
        </w:rPr>
        <w:t xml:space="preserve">I, </w:t>
      </w:r>
      <w:r>
        <w:rPr>
          <w:rFonts w:ascii="Times New Roman;Times;Serif" w:hAnsi="Times New Roman;Times;Serif"/>
          <w:b w:val="false"/>
          <w:i w:val="false"/>
          <w:caps w:val="false"/>
          <w:smallCaps w:val="false"/>
          <w:sz w:val="20"/>
        </w:rPr>
        <w:t>Kevin Cureton</w:t>
      </w:r>
      <w:r>
        <w:rPr>
          <w:rFonts w:ascii="Times New Roman;Times;Serif" w:hAnsi="Times New Roman;Times;Serif"/>
          <w:b w:val="false"/>
          <w:i w:val="false"/>
          <w:caps w:val="false"/>
          <w:smallCaps w:val="false"/>
          <w:color w:val="000033"/>
          <w:sz w:val="20"/>
        </w:rPr>
        <w:t xml:space="preserve">, certify that: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Solésence, Inc.;</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489"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489" w:right="0" w:firstLine="490"/>
        <w:jc w:val="left"/>
        <w:rPr>
          <w:caps w:val="false"/>
          <w:smallCaps w:val="false"/>
        </w:rPr>
      </w:pPr>
      <w:r>
        <w:rPr>
          <w:caps w:val="false"/>
          <w:smallCaps w:val="false"/>
        </w:rPr>
        <w:t> </w:t>
      </w:r>
    </w:p>
    <w:p>
      <w:pPr>
        <w:pStyle w:val="TextBody"/>
        <w:bidi w:val="0"/>
        <w:spacing w:before="0" w:after="0"/>
        <w:ind w:left="489"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489" w:right="0" w:firstLine="490"/>
        <w:jc w:val="left"/>
        <w:rPr>
          <w:caps w:val="false"/>
          <w:smallCaps w:val="false"/>
        </w:rPr>
      </w:pPr>
      <w:r>
        <w:rPr>
          <w:caps w:val="false"/>
          <w:smallCaps w:val="false"/>
        </w:rPr>
        <w:t> </w:t>
      </w:r>
    </w:p>
    <w:p>
      <w:pPr>
        <w:pStyle w:val="TextBody"/>
        <w:bidi w:val="0"/>
        <w:spacing w:before="0" w:after="0"/>
        <w:ind w:left="489"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489" w:right="0" w:firstLine="490"/>
        <w:jc w:val="left"/>
        <w:rPr>
          <w:caps w:val="false"/>
          <w:smallCaps w:val="false"/>
        </w:rPr>
      </w:pPr>
      <w:r>
        <w:rPr>
          <w:caps w:val="false"/>
          <w:smallCaps w:val="false"/>
        </w:rPr>
        <w:t> </w:t>
      </w:r>
    </w:p>
    <w:p>
      <w:pPr>
        <w:pStyle w:val="TextBody"/>
        <w:bidi w:val="0"/>
        <w:spacing w:before="0" w:after="0"/>
        <w:ind w:left="489"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489"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489"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489" w:right="0" w:firstLine="490"/>
        <w:jc w:val="left"/>
        <w:rPr>
          <w:caps w:val="false"/>
          <w:smallCaps w:val="false"/>
        </w:rPr>
      </w:pPr>
      <w:r>
        <w:rPr>
          <w:caps w:val="false"/>
          <w:smallCaps w:val="false"/>
        </w:rPr>
        <w:t> </w:t>
      </w:r>
    </w:p>
    <w:p>
      <w:pPr>
        <w:pStyle w:val="TextBody"/>
        <w:bidi w:val="0"/>
        <w:spacing w:before="0" w:after="0"/>
        <w:ind w:left="489"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489"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19, 2026</w:t>
      </w:r>
    </w:p>
    <w:p>
      <w:pPr>
        <w:pStyle w:val="TextBody"/>
        <w:bidi w:val="0"/>
        <w:spacing w:before="0" w:after="0"/>
        <w:ind w:left="0" w:right="0" w:hanging="0"/>
        <w:jc w:val="left"/>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75"/>
        <w:gridCol w:w="252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KEVIN CURETON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Kevin Cureton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525"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Principal Executive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ind w:left="0" w:right="0" w:hanging="0"/>
        <w:jc w:val="left"/>
        <w:rPr>
          <w:bdr w:val="single" w:sz="16" w:space="1" w:color="000000"/>
        </w:rPr>
      </w:pPr>
      <w:bookmarkStart w:id="576" w:name="ex31-2.htm"/>
      <w:bookmarkStart w:id="577" w:name="ksex312"/>
      <w:bookmarkEnd w:id="576"/>
      <w:bookmarkEnd w:id="577"/>
      <w:r>
        <w:rPr>
          <w:bdr w:val="single" w:sz="16" w:space="1" w:color="000000"/>
        </w:rPr>
        <w:t> </w:t>
      </w:r>
      <w:r>
        <w:br w:type="page"/>
      </w:r>
    </w:p>
    <w:p>
      <w:pPr>
        <w:pStyle w:val="TextBody"/>
        <w:bidi w:val="0"/>
        <w:spacing w:before="0" w:after="0"/>
        <w:ind w:left="0" w:right="0" w:hanging="0"/>
        <w:jc w:val="left"/>
        <w:rPr/>
      </w:pPr>
      <w:hyperlink w:anchor="slsn-10q_063026.htm">
        <w:r>
          <w:rPr>
            <w:rStyle w:val="InternetLink"/>
            <w:rFonts w:ascii="Times New Roman;Times;Serif" w:hAnsi="Times New Roman;Times;Serif"/>
            <w:b w:val="false"/>
            <w:i w:val="false"/>
            <w:caps w:val="false"/>
            <w:smallCaps w:val="false"/>
            <w:color w:val="000033"/>
            <w:sz w:val="20"/>
          </w:rPr>
          <w:t>Solésence, Inc. 10-Q</w:t>
        </w:r>
      </w:hyperlink>
    </w:p>
    <w:p>
      <w:pPr>
        <w:pStyle w:val="TextBody"/>
        <w:bidi w:val="0"/>
        <w:spacing w:before="0" w:after="0"/>
        <w:ind w:left="0" w:right="0" w:hanging="0"/>
        <w:jc w:val="right"/>
        <w:rPr>
          <w:rFonts w:ascii="Times New Roman;Times;Serif" w:hAnsi="Times New Roman;Times;Serif"/>
          <w:b/>
          <w:i w:val="false"/>
          <w:caps w:val="false"/>
          <w:smallCaps w:val="false"/>
          <w:color w:val="000033"/>
          <w:sz w:val="20"/>
        </w:rPr>
      </w:pPr>
      <w:r>
        <w:rPr>
          <w:rFonts w:ascii="Times New Roman;Times;Serif" w:hAnsi="Times New Roman;Times;Serif"/>
          <w:b/>
          <w:i w:val="false"/>
          <w:caps w:val="false"/>
          <w:smallCaps w:val="false"/>
          <w:color w:val="000033"/>
          <w:sz w:val="20"/>
        </w:rPr>
        <w:t>Exhibit 31.2</w:t>
      </w:r>
    </w:p>
    <w:p>
      <w:pPr>
        <w:pStyle w:val="TextBody"/>
        <w:bidi w:val="0"/>
        <w:spacing w:before="0" w:after="0"/>
        <w:ind w:left="0" w:right="0" w:hanging="0"/>
        <w:jc w:val="right"/>
        <w:rPr>
          <w:caps w:val="false"/>
          <w:smallCaps w:val="false"/>
          <w:color w:val="000033"/>
        </w:rPr>
      </w:pPr>
      <w:r>
        <w:rPr>
          <w:caps w:val="false"/>
          <w:smallCaps w:val="false"/>
          <w:color w:val="000033"/>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33"/>
          <w:sz w:val="20"/>
        </w:rPr>
        <w:t>Certification of the Principal Financial Officer</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color w:val="000033"/>
          <w:sz w:val="20"/>
        </w:rPr>
        <w:t>Pursuant to</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Rules 13a-14(a) and 15d-14(a) under the Exchange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Laura Riffner, certify that: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Solésence, Inc.;</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489"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489" w:right="0" w:firstLine="490"/>
        <w:jc w:val="left"/>
        <w:rPr>
          <w:caps w:val="false"/>
          <w:smallCaps w:val="false"/>
        </w:rPr>
      </w:pPr>
      <w:r>
        <w:rPr>
          <w:caps w:val="false"/>
          <w:smallCaps w:val="false"/>
        </w:rPr>
        <w:t> </w:t>
      </w:r>
    </w:p>
    <w:p>
      <w:pPr>
        <w:pStyle w:val="TextBody"/>
        <w:bidi w:val="0"/>
        <w:spacing w:before="0" w:after="0"/>
        <w:ind w:left="489"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489" w:right="0" w:firstLine="490"/>
        <w:jc w:val="left"/>
        <w:rPr>
          <w:caps w:val="false"/>
          <w:smallCaps w:val="false"/>
        </w:rPr>
      </w:pPr>
      <w:r>
        <w:rPr>
          <w:caps w:val="false"/>
          <w:smallCaps w:val="false"/>
        </w:rPr>
        <w:t> </w:t>
      </w:r>
    </w:p>
    <w:p>
      <w:pPr>
        <w:pStyle w:val="TextBody"/>
        <w:bidi w:val="0"/>
        <w:spacing w:before="0" w:after="0"/>
        <w:ind w:left="489"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489" w:right="0" w:firstLine="490"/>
        <w:jc w:val="left"/>
        <w:rPr>
          <w:caps w:val="false"/>
          <w:smallCaps w:val="false"/>
        </w:rPr>
      </w:pPr>
      <w:r>
        <w:rPr>
          <w:caps w:val="false"/>
          <w:smallCaps w:val="false"/>
        </w:rPr>
        <w:t> </w:t>
      </w:r>
    </w:p>
    <w:p>
      <w:pPr>
        <w:pStyle w:val="TextBody"/>
        <w:bidi w:val="0"/>
        <w:spacing w:before="0" w:after="0"/>
        <w:ind w:left="489"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489"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489"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489" w:right="0" w:firstLine="490"/>
        <w:jc w:val="left"/>
        <w:rPr>
          <w:caps w:val="false"/>
          <w:smallCaps w:val="false"/>
        </w:rPr>
      </w:pPr>
      <w:r>
        <w:rPr>
          <w:caps w:val="false"/>
          <w:smallCaps w:val="false"/>
        </w:rPr>
        <w:t> </w:t>
      </w:r>
    </w:p>
    <w:p>
      <w:pPr>
        <w:pStyle w:val="TextBody"/>
        <w:bidi w:val="0"/>
        <w:spacing w:before="0" w:after="0"/>
        <w:ind w:left="489"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489"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19, 2026</w:t>
      </w:r>
    </w:p>
    <w:p>
      <w:pPr>
        <w:pStyle w:val="TextBody"/>
        <w:bidi w:val="0"/>
        <w:spacing w:before="0" w:after="0"/>
        <w:ind w:left="0" w:right="0" w:hanging="0"/>
        <w:jc w:val="left"/>
        <w:rPr>
          <w:caps w:val="false"/>
          <w:smallCaps w:val="false"/>
        </w:rPr>
      </w:pPr>
      <w:r>
        <w:rPr>
          <w:caps w:val="false"/>
          <w:smallCaps w:val="false"/>
        </w:rPr>
        <w:t> </w:t>
      </w:r>
    </w:p>
    <w:tbl>
      <w:tblPr>
        <w:tblW w:w="2615" w:type="dxa"/>
        <w:jc w:val="left"/>
        <w:tblInd w:w="0" w:type="dxa"/>
        <w:tblLayout w:type="fixed"/>
        <w:tblCellMar>
          <w:top w:w="0" w:type="dxa"/>
          <w:left w:w="0" w:type="dxa"/>
          <w:bottom w:w="0" w:type="dxa"/>
          <w:right w:w="0" w:type="dxa"/>
        </w:tblCellMar>
      </w:tblPr>
      <w:tblGrid>
        <w:gridCol w:w="75"/>
        <w:gridCol w:w="246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LAURA RIFFNER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Laura Riffner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Principal Financial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ind w:left="0" w:right="0" w:hanging="0"/>
        <w:jc w:val="left"/>
        <w:rPr>
          <w:bdr w:val="single" w:sz="16" w:space="1" w:color="000000"/>
        </w:rPr>
      </w:pPr>
      <w:bookmarkStart w:id="578" w:name="ex32.htm"/>
      <w:bookmarkStart w:id="579" w:name="ksex32"/>
      <w:bookmarkEnd w:id="578"/>
      <w:bookmarkEnd w:id="579"/>
      <w:r>
        <w:rPr>
          <w:bdr w:val="single" w:sz="16" w:space="1" w:color="000000"/>
        </w:rPr>
        <w:t> </w:t>
      </w:r>
      <w:r>
        <w:br w:type="page"/>
      </w:r>
    </w:p>
    <w:p>
      <w:pPr>
        <w:pStyle w:val="TextBody"/>
        <w:bidi w:val="0"/>
        <w:spacing w:before="0" w:after="0"/>
        <w:ind w:left="0" w:right="0" w:hanging="0"/>
        <w:jc w:val="left"/>
        <w:rPr/>
      </w:pPr>
      <w:hyperlink w:anchor="slsn-10q_063026.htm">
        <w:r>
          <w:rPr>
            <w:rStyle w:val="InternetLink"/>
            <w:rFonts w:ascii="Times New Roman;Times;Serif" w:hAnsi="Times New Roman;Times;Serif"/>
            <w:b w:val="false"/>
            <w:i w:val="false"/>
            <w:caps w:val="false"/>
            <w:smallCaps w:val="false"/>
            <w:color w:val="000033"/>
            <w:sz w:val="20"/>
          </w:rPr>
          <w:t>Solésence, Inc. 10-Q</w:t>
        </w:r>
      </w:hyperlink>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Certification Pursuant to 18 U.S.C. Section 1350</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quarterly report of Solésence, Inc. (the “Company”) on Form 10-Q for the second quarter ending June 30, 2026 as filed with the Securities and Exchange Commission on the date hereof (the “Report”), I, Kevin Cureton, Chief Executive Officer certify, pursuant to 18 U.S.C. § 1350, as adopted pursuant to Section 906 of the Sarbanes-Oxley Act of 2002, that, to my knowledge: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 of operations of the Company.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19, 2026 </w:t>
      </w:r>
    </w:p>
    <w:p>
      <w:pPr>
        <w:pStyle w:val="TextBody"/>
        <w:bidi w:val="0"/>
        <w:spacing w:before="0" w:after="0"/>
        <w:ind w:left="0" w:right="0" w:hanging="0"/>
        <w:jc w:val="left"/>
        <w:rPr>
          <w:caps w:val="false"/>
          <w:smallCaps w:val="false"/>
        </w:rPr>
      </w:pPr>
      <w:r>
        <w:rPr>
          <w:caps w:val="false"/>
          <w:smallCaps w:val="false"/>
        </w:rPr>
        <w:t> </w:t>
      </w:r>
    </w:p>
    <w:tbl>
      <w:tblPr>
        <w:tblW w:w="3230" w:type="dxa"/>
        <w:jc w:val="left"/>
        <w:tblInd w:w="0" w:type="dxa"/>
        <w:tblLayout w:type="fixed"/>
        <w:tblCellMar>
          <w:top w:w="0" w:type="dxa"/>
          <w:left w:w="0" w:type="dxa"/>
          <w:bottom w:w="0" w:type="dxa"/>
          <w:right w:w="0" w:type="dxa"/>
        </w:tblCellMar>
      </w:tblPr>
      <w:tblGrid>
        <w:gridCol w:w="75"/>
        <w:gridCol w:w="308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KEVIN CURETON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Cureton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quarterly report of Solésence, Inc. (the “Company”) on Form 10-Q for the second quarter ending June 30, 2026 as filed with the Securities and Exchange Commission on the date hereof (the “Report”), I, Laura Riffner, Chief Financial Officer certify, pursuant to 18 U.S.C. § 1350, as adopted pursuant to Section 906 of the Sarbanes-Oxley Act of 2002, that, to my knowledge: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 of operations of the Company.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19, 2026 </w:t>
      </w:r>
    </w:p>
    <w:p>
      <w:pPr>
        <w:pStyle w:val="TextBody"/>
        <w:bidi w:val="0"/>
        <w:spacing w:before="0" w:after="0"/>
        <w:ind w:left="0" w:right="0" w:hanging="0"/>
        <w:jc w:val="left"/>
        <w:rPr>
          <w:caps w:val="false"/>
          <w:smallCaps w:val="false"/>
        </w:rPr>
      </w:pPr>
      <w:r>
        <w:rPr>
          <w:caps w:val="false"/>
          <w:smallCaps w:val="false"/>
        </w:rPr>
        <w:t> </w:t>
      </w:r>
    </w:p>
    <w:tbl>
      <w:tblPr>
        <w:tblW w:w="2315" w:type="dxa"/>
        <w:jc w:val="left"/>
        <w:tblInd w:w="0" w:type="dxa"/>
        <w:tblLayout w:type="fixed"/>
        <w:tblCellMar>
          <w:top w:w="0" w:type="dxa"/>
          <w:left w:w="0" w:type="dxa"/>
          <w:bottom w:w="0" w:type="dxa"/>
          <w:right w:w="0" w:type="dxa"/>
        </w:tblCellMar>
      </w:tblPr>
      <w:tblGrid>
        <w:gridCol w:w="75"/>
        <w:gridCol w:w="216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LAURA RIFFNER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Laura Riffner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11225</Words>
  <Characters>61813</Characters>
  <CharactersWithSpaces>74259</CharactersWithSpaces>
  <Paragraphs>4143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